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4AC" w:rsidRDefault="009404AC" w:rsidP="009404AC">
      <w:pPr>
        <w:spacing w:after="0"/>
        <w:ind w:left="720" w:right="900"/>
        <w:jc w:val="both"/>
      </w:pPr>
      <w:bookmarkStart w:id="0" w:name="_GoBack"/>
      <w:bookmarkEnd w:id="0"/>
      <w:r>
        <w:t>Date:</w:t>
      </w:r>
      <w:r>
        <w:tab/>
      </w:r>
      <w:r w:rsidR="00101DAC">
        <w:t>09</w:t>
      </w:r>
      <w:r>
        <w:t>/2</w:t>
      </w:r>
      <w:r w:rsidR="00101DAC">
        <w:t>2</w:t>
      </w:r>
      <w:r>
        <w:t>/2022</w:t>
      </w:r>
    </w:p>
    <w:p w:rsidR="009404AC" w:rsidRDefault="009404AC" w:rsidP="009404AC">
      <w:pPr>
        <w:spacing w:after="0"/>
        <w:ind w:left="720" w:right="900"/>
        <w:jc w:val="both"/>
      </w:pPr>
    </w:p>
    <w:p w:rsidR="009404AC" w:rsidRDefault="009404AC" w:rsidP="009404AC">
      <w:pPr>
        <w:spacing w:after="0"/>
        <w:ind w:left="720" w:right="900"/>
        <w:jc w:val="both"/>
      </w:pPr>
      <w:r>
        <w:t xml:space="preserve">From: </w:t>
      </w:r>
      <w:r>
        <w:tab/>
        <w:t>Mark A. Cervinski, PhD</w:t>
      </w:r>
    </w:p>
    <w:p w:rsidR="009404AC" w:rsidRDefault="009404AC" w:rsidP="009404AC">
      <w:pPr>
        <w:spacing w:after="0"/>
        <w:ind w:left="720" w:right="900"/>
        <w:jc w:val="both"/>
      </w:pPr>
      <w:r>
        <w:tab/>
        <w:t>Director of Clinical Chemistry</w:t>
      </w:r>
    </w:p>
    <w:p w:rsidR="009404AC" w:rsidRDefault="009404AC" w:rsidP="009404AC">
      <w:pPr>
        <w:spacing w:after="0"/>
        <w:ind w:left="720" w:right="900"/>
        <w:jc w:val="both"/>
      </w:pPr>
    </w:p>
    <w:p w:rsidR="009404AC" w:rsidRDefault="009404AC" w:rsidP="009404AC">
      <w:pPr>
        <w:spacing w:after="0"/>
        <w:ind w:left="720" w:right="900"/>
        <w:jc w:val="both"/>
      </w:pPr>
      <w:r>
        <w:t xml:space="preserve">RE: </w:t>
      </w:r>
      <w:r>
        <w:tab/>
        <w:t>Initiation of High Sensitivity Troponin T Testing</w:t>
      </w:r>
    </w:p>
    <w:p w:rsidR="009404AC" w:rsidRDefault="009404AC" w:rsidP="009404AC">
      <w:pPr>
        <w:spacing w:after="0"/>
        <w:ind w:left="720" w:right="900"/>
        <w:jc w:val="both"/>
      </w:pPr>
    </w:p>
    <w:p w:rsidR="009404AC" w:rsidRDefault="009404AC" w:rsidP="009404AC">
      <w:pPr>
        <w:spacing w:after="0"/>
        <w:ind w:left="720" w:right="900"/>
        <w:jc w:val="both"/>
      </w:pPr>
      <w:r>
        <w:t>On Tuesday, September 27 2022, the chemistry laboratory at DHMC will transition to measuring troponin with a new high sensitivity troponin T assay for all patients. This new high sensitivity troponin T (</w:t>
      </w:r>
      <w:proofErr w:type="spellStart"/>
      <w:r>
        <w:t>hs</w:t>
      </w:r>
      <w:proofErr w:type="spellEnd"/>
      <w:r>
        <w:t xml:space="preserve"> </w:t>
      </w:r>
      <w:proofErr w:type="spellStart"/>
      <w:r>
        <w:t>cTnT</w:t>
      </w:r>
      <w:proofErr w:type="spellEnd"/>
      <w:r>
        <w:t xml:space="preserve">) assay is more sensitive and precise than the currently available troponin T assay. </w:t>
      </w:r>
    </w:p>
    <w:p w:rsidR="009404AC" w:rsidRDefault="009404AC" w:rsidP="009404AC">
      <w:pPr>
        <w:spacing w:after="0"/>
        <w:ind w:left="720" w:right="900"/>
        <w:jc w:val="both"/>
      </w:pPr>
    </w:p>
    <w:p w:rsidR="009404AC" w:rsidRDefault="009404AC" w:rsidP="009404AC">
      <w:pPr>
        <w:spacing w:after="0"/>
        <w:ind w:left="720" w:right="900"/>
        <w:jc w:val="both"/>
      </w:pPr>
      <w:r>
        <w:t>The change in measuring technology will also coincide with a change in the reporting units and reference intervals (99</w:t>
      </w:r>
      <w:r w:rsidRPr="00595FFB">
        <w:rPr>
          <w:vertAlign w:val="superscript"/>
        </w:rPr>
        <w:t>th</w:t>
      </w:r>
      <w:r>
        <w:t xml:space="preserve"> Percentile). The new </w:t>
      </w:r>
      <w:proofErr w:type="spellStart"/>
      <w:r>
        <w:t>hs</w:t>
      </w:r>
      <w:proofErr w:type="spellEnd"/>
      <w:r>
        <w:t xml:space="preserve"> </w:t>
      </w:r>
      <w:proofErr w:type="spellStart"/>
      <w:r>
        <w:t>cTnT</w:t>
      </w:r>
      <w:proofErr w:type="spellEnd"/>
      <w:r>
        <w:t xml:space="preserve"> results will be reported in ng/L, and the reported values will be approximately 1000 fold higher than the currently reported values. </w:t>
      </w:r>
    </w:p>
    <w:p w:rsidR="009404AC" w:rsidRDefault="009404AC" w:rsidP="009404AC">
      <w:pPr>
        <w:spacing w:after="0"/>
        <w:ind w:left="720" w:right="900"/>
        <w:jc w:val="both"/>
      </w:pPr>
    </w:p>
    <w:p w:rsidR="009404AC" w:rsidRPr="00671865" w:rsidRDefault="009404AC" w:rsidP="009404AC">
      <w:pPr>
        <w:spacing w:after="0"/>
        <w:ind w:left="720" w:right="900"/>
        <w:jc w:val="both"/>
        <w:rPr>
          <w:b/>
        </w:rPr>
      </w:pPr>
      <w:r w:rsidRPr="00671865">
        <w:rPr>
          <w:b/>
        </w:rPr>
        <w:t>Test Units and 99</w:t>
      </w:r>
      <w:r w:rsidRPr="00671865">
        <w:rPr>
          <w:b/>
          <w:vertAlign w:val="superscript"/>
        </w:rPr>
        <w:t>th</w:t>
      </w:r>
      <w:r w:rsidRPr="00671865">
        <w:rPr>
          <w:b/>
        </w:rPr>
        <w:t xml:space="preserve"> Percentile Changes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250"/>
      </w:tblGrid>
      <w:tr w:rsidR="009404AC" w:rsidTr="0096243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BE20"/>
            <w:vAlign w:val="bottom"/>
          </w:tcPr>
          <w:p w:rsidR="009404AC" w:rsidRDefault="009404AC" w:rsidP="009404AC">
            <w:pPr>
              <w:ind w:right="45"/>
              <w:jc w:val="both"/>
            </w:pPr>
            <w:r>
              <w:t>Current Troponin</w:t>
            </w:r>
          </w:p>
          <w:p w:rsidR="009404AC" w:rsidRDefault="009404AC" w:rsidP="009404AC">
            <w:pPr>
              <w:ind w:right="45"/>
              <w:jc w:val="both"/>
            </w:pPr>
            <w:r>
              <w:t>Test Units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BE20"/>
            <w:vAlign w:val="bottom"/>
          </w:tcPr>
          <w:p w:rsidR="009404AC" w:rsidRDefault="009404AC" w:rsidP="009404AC">
            <w:pPr>
              <w:ind w:right="76"/>
              <w:jc w:val="both"/>
            </w:pPr>
            <w:r>
              <w:t>High Sensitivity</w:t>
            </w:r>
          </w:p>
          <w:p w:rsidR="009404AC" w:rsidRDefault="009404AC" w:rsidP="009404AC">
            <w:pPr>
              <w:ind w:right="76"/>
              <w:jc w:val="both"/>
            </w:pPr>
            <w:r>
              <w:t>Troponin Test Units</w:t>
            </w:r>
          </w:p>
        </w:tc>
      </w:tr>
      <w:tr w:rsidR="009404AC" w:rsidTr="0096243E">
        <w:trPr>
          <w:trHeight w:val="323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AC" w:rsidRDefault="00093B02" w:rsidP="009404AC">
            <w:pPr>
              <w:jc w:val="both"/>
            </w:pPr>
            <m:oMath>
              <m:f>
                <m:fPr>
                  <m:type m:val="lin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ng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mL</m:t>
                  </m:r>
                </m:den>
              </m:f>
              <m:r>
                <w:rPr>
                  <w:rFonts w:ascii="Cambria Math" w:hAnsi="Cambria Math"/>
                  <w:sz w:val="24"/>
                </w:rPr>
                <m:t>→</m:t>
              </m:r>
              <m:r>
                <w:rPr>
                  <w:rFonts w:ascii="Cambria Math" w:hAnsi="Cambria Math"/>
                  <w:sz w:val="24"/>
                </w:rPr>
                <m:t>x</m:t>
              </m:r>
              <m:r>
                <w:rPr>
                  <w:rFonts w:ascii="Cambria Math" w:hAnsi="Cambria Math"/>
                  <w:sz w:val="24"/>
                </w:rPr>
                <m:t>1000→</m:t>
              </m:r>
              <m:r>
                <w:rPr>
                  <w:rFonts w:ascii="Cambria Math" w:hAnsi="Cambria Math"/>
                  <w:sz w:val="24"/>
                </w:rPr>
                <m:t>ng</m:t>
              </m:r>
              <m:r>
                <w:rPr>
                  <w:rFonts w:ascii="Cambria Math" w:hAnsi="Cambria Math"/>
                  <w:sz w:val="24"/>
                </w:rPr>
                <m:t>/</m:t>
              </m:r>
              <m:r>
                <w:rPr>
                  <w:rFonts w:ascii="Cambria Math" w:hAnsi="Cambria Math"/>
                  <w:sz w:val="24"/>
                </w:rPr>
                <m:t>L</m:t>
              </m:r>
              <m:r>
                <w:rPr>
                  <w:rFonts w:ascii="Cambria Math" w:hAnsi="Cambria Math"/>
                  <w:sz w:val="24"/>
                </w:rPr>
                <m:t xml:space="preserve"> </m:t>
              </m:r>
            </m:oMath>
            <w:r w:rsidR="009404AC">
              <w:rPr>
                <w:rFonts w:eastAsiaTheme="minorEastAsia"/>
                <w:sz w:val="24"/>
              </w:rPr>
              <w:t xml:space="preserve"> </w:t>
            </w:r>
          </w:p>
        </w:tc>
      </w:tr>
    </w:tbl>
    <w:p w:rsidR="009404AC" w:rsidRDefault="009404AC" w:rsidP="009404AC">
      <w:pPr>
        <w:spacing w:after="0"/>
        <w:ind w:left="720" w:right="900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64"/>
        <w:gridCol w:w="2811"/>
      </w:tblGrid>
      <w:tr w:rsidR="009404AC" w:rsidTr="0096243E">
        <w:tc>
          <w:tcPr>
            <w:tcW w:w="2764" w:type="dxa"/>
            <w:shd w:val="clear" w:color="auto" w:fill="78BE20"/>
            <w:vAlign w:val="bottom"/>
          </w:tcPr>
          <w:p w:rsidR="009404AC" w:rsidRDefault="009404AC" w:rsidP="009404AC">
            <w:pPr>
              <w:ind w:right="45"/>
              <w:jc w:val="both"/>
            </w:pPr>
            <w:r>
              <w:t xml:space="preserve">Current Troponin Test </w:t>
            </w:r>
          </w:p>
          <w:p w:rsidR="009404AC" w:rsidRDefault="009404AC" w:rsidP="009404AC">
            <w:pPr>
              <w:ind w:right="45"/>
              <w:jc w:val="both"/>
            </w:pPr>
            <w:r>
              <w:t>99</w:t>
            </w:r>
            <w:r w:rsidRPr="00355B83">
              <w:rPr>
                <w:vertAlign w:val="superscript"/>
              </w:rPr>
              <w:t>th</w:t>
            </w:r>
            <w:r>
              <w:t xml:space="preserve"> Percentile</w:t>
            </w:r>
          </w:p>
        </w:tc>
        <w:tc>
          <w:tcPr>
            <w:tcW w:w="2811" w:type="dxa"/>
            <w:shd w:val="clear" w:color="auto" w:fill="78BE20"/>
            <w:vAlign w:val="bottom"/>
          </w:tcPr>
          <w:p w:rsidR="009404AC" w:rsidRDefault="009404AC" w:rsidP="009404AC">
            <w:pPr>
              <w:ind w:right="76"/>
              <w:jc w:val="both"/>
            </w:pPr>
            <w:r>
              <w:t xml:space="preserve">High Sensitivity Troponin </w:t>
            </w:r>
          </w:p>
          <w:p w:rsidR="009404AC" w:rsidRDefault="009404AC" w:rsidP="009404AC">
            <w:pPr>
              <w:ind w:right="76"/>
              <w:jc w:val="both"/>
            </w:pPr>
            <w:r>
              <w:t>99</w:t>
            </w:r>
            <w:r w:rsidRPr="00355B83">
              <w:rPr>
                <w:vertAlign w:val="superscript"/>
              </w:rPr>
              <w:t>th</w:t>
            </w:r>
            <w:r>
              <w:t xml:space="preserve"> Percentiles</w:t>
            </w:r>
          </w:p>
        </w:tc>
      </w:tr>
      <w:tr w:rsidR="009404AC" w:rsidTr="0096243E">
        <w:trPr>
          <w:trHeight w:val="323"/>
        </w:trPr>
        <w:tc>
          <w:tcPr>
            <w:tcW w:w="2764" w:type="dxa"/>
            <w:vMerge w:val="restart"/>
            <w:vAlign w:val="center"/>
          </w:tcPr>
          <w:p w:rsidR="009404AC" w:rsidRDefault="009404AC" w:rsidP="009404AC">
            <w:pPr>
              <w:ind w:right="45"/>
              <w:jc w:val="both"/>
            </w:pPr>
            <w:r>
              <w:t>&lt; 0.01 ng/mL</w:t>
            </w:r>
          </w:p>
        </w:tc>
        <w:tc>
          <w:tcPr>
            <w:tcW w:w="2811" w:type="dxa"/>
            <w:vAlign w:val="center"/>
          </w:tcPr>
          <w:p w:rsidR="009404AC" w:rsidRDefault="009404AC" w:rsidP="009404AC">
            <w:pPr>
              <w:jc w:val="both"/>
            </w:pPr>
            <w:r>
              <w:t>Females 14 ng/L</w:t>
            </w:r>
          </w:p>
        </w:tc>
      </w:tr>
      <w:tr w:rsidR="009404AC" w:rsidTr="0096243E">
        <w:trPr>
          <w:trHeight w:val="323"/>
        </w:trPr>
        <w:tc>
          <w:tcPr>
            <w:tcW w:w="2764" w:type="dxa"/>
            <w:vMerge/>
          </w:tcPr>
          <w:p w:rsidR="009404AC" w:rsidRDefault="009404AC" w:rsidP="009404AC">
            <w:pPr>
              <w:ind w:right="45"/>
              <w:jc w:val="both"/>
            </w:pPr>
          </w:p>
        </w:tc>
        <w:tc>
          <w:tcPr>
            <w:tcW w:w="2811" w:type="dxa"/>
            <w:vAlign w:val="center"/>
          </w:tcPr>
          <w:p w:rsidR="009404AC" w:rsidRDefault="009404AC" w:rsidP="009404AC">
            <w:pPr>
              <w:jc w:val="both"/>
            </w:pPr>
            <w:r>
              <w:t>Males 22 ng/L</w:t>
            </w:r>
          </w:p>
        </w:tc>
      </w:tr>
    </w:tbl>
    <w:p w:rsidR="009404AC" w:rsidRDefault="009404AC" w:rsidP="009404AC">
      <w:pPr>
        <w:spacing w:after="0"/>
        <w:ind w:left="720" w:right="900"/>
        <w:jc w:val="both"/>
      </w:pPr>
    </w:p>
    <w:p w:rsidR="009404AC" w:rsidRDefault="009404AC" w:rsidP="009404AC">
      <w:pPr>
        <w:spacing w:after="0"/>
        <w:ind w:left="720" w:right="900"/>
        <w:jc w:val="both"/>
      </w:pPr>
      <w:r>
        <w:t xml:space="preserve">The increased sensitivity of the </w:t>
      </w:r>
      <w:proofErr w:type="spellStart"/>
      <w:r>
        <w:t>hs</w:t>
      </w:r>
      <w:proofErr w:type="spellEnd"/>
      <w:r>
        <w:t xml:space="preserve"> </w:t>
      </w:r>
      <w:proofErr w:type="spellStart"/>
      <w:r>
        <w:t>cTnT</w:t>
      </w:r>
      <w:proofErr w:type="spellEnd"/>
      <w:r>
        <w:t xml:space="preserve"> assay will permit the detection of troponin within reference interval, and approximately 50% of the healthy population will have detectable troponin concentrations. Consequently the interpretation of troponin values with the new </w:t>
      </w:r>
      <w:proofErr w:type="spellStart"/>
      <w:r>
        <w:t>hs</w:t>
      </w:r>
      <w:proofErr w:type="spellEnd"/>
      <w:r>
        <w:t xml:space="preserve"> </w:t>
      </w:r>
      <w:proofErr w:type="spellStart"/>
      <w:r>
        <w:t>cTnT</w:t>
      </w:r>
      <w:proofErr w:type="spellEnd"/>
      <w:r>
        <w:t xml:space="preserve"> assay differs from the current </w:t>
      </w:r>
      <w:r>
        <w:lastRenderedPageBreak/>
        <w:t>test. The increased precision of the new test will facilitate a more rapid assessment for the presence of acute myocardial injury.</w:t>
      </w:r>
    </w:p>
    <w:p w:rsidR="009404AC" w:rsidRDefault="009404AC" w:rsidP="009404AC">
      <w:pPr>
        <w:spacing w:after="0"/>
        <w:ind w:left="720" w:right="900"/>
        <w:jc w:val="both"/>
      </w:pPr>
    </w:p>
    <w:p w:rsidR="009404AC" w:rsidRDefault="009404AC" w:rsidP="009404AC">
      <w:pPr>
        <w:spacing w:after="0"/>
        <w:ind w:left="720" w:right="900"/>
        <w:jc w:val="both"/>
      </w:pPr>
      <w:r>
        <w:t xml:space="preserve">To assist in the interpretation of the new </w:t>
      </w:r>
      <w:proofErr w:type="spellStart"/>
      <w:r>
        <w:t>hs</w:t>
      </w:r>
      <w:proofErr w:type="spellEnd"/>
      <w:r>
        <w:t xml:space="preserve"> </w:t>
      </w:r>
      <w:proofErr w:type="spellStart"/>
      <w:r>
        <w:t>cTnT</w:t>
      </w:r>
      <w:proofErr w:type="spellEnd"/>
      <w:r>
        <w:t xml:space="preserve"> assay, a DHH specific Rapid Rule-Out Algorithm has been developed by a working group, consisting of representatives from the Departments of Emergency Medicine, Cardiology, and Pathology and Laboratory Medicine.  The algorithm is appended on the following page.</w:t>
      </w:r>
    </w:p>
    <w:p w:rsidR="009404AC" w:rsidRDefault="009404AC" w:rsidP="009404AC">
      <w:pPr>
        <w:spacing w:after="0"/>
        <w:ind w:left="720" w:right="900"/>
        <w:jc w:val="both"/>
      </w:pPr>
      <w:r>
        <w:t>A recorded video presentation regarding this change is available via the following link.</w:t>
      </w:r>
    </w:p>
    <w:p w:rsidR="009404AC" w:rsidRDefault="00093B02" w:rsidP="009404AC">
      <w:pPr>
        <w:spacing w:after="0"/>
        <w:ind w:left="720" w:right="900"/>
        <w:jc w:val="both"/>
      </w:pPr>
      <w:hyperlink r:id="rId4" w:history="1">
        <w:r w:rsidR="009404AC">
          <w:rPr>
            <w:rStyle w:val="Hyperlink"/>
          </w:rPr>
          <w:t>https://dhvideo.webex.com/recordingservice/sites/dhvideo/recording/819406ddd93a103ab7ff00505681e571/playback</w:t>
        </w:r>
      </w:hyperlink>
    </w:p>
    <w:p w:rsidR="009404AC" w:rsidRDefault="009404AC" w:rsidP="009404AC">
      <w:pPr>
        <w:spacing w:after="0"/>
        <w:ind w:left="720" w:right="900"/>
        <w:jc w:val="both"/>
      </w:pPr>
    </w:p>
    <w:p w:rsidR="009404AC" w:rsidRDefault="009404AC" w:rsidP="009404AC">
      <w:pPr>
        <w:spacing w:after="0"/>
        <w:ind w:left="720" w:right="900"/>
        <w:jc w:val="both"/>
      </w:pPr>
      <w:r>
        <w:t>A separate “The Cure Podcast” regarding this topic is also available via the following link.</w:t>
      </w:r>
    </w:p>
    <w:p w:rsidR="009404AC" w:rsidRDefault="00093B02" w:rsidP="009404AC">
      <w:pPr>
        <w:spacing w:after="0"/>
        <w:ind w:left="720" w:right="900"/>
        <w:jc w:val="both"/>
      </w:pPr>
      <w:hyperlink r:id="rId5" w:history="1">
        <w:r w:rsidR="009404AC" w:rsidRPr="00761C15">
          <w:rPr>
            <w:rStyle w:val="Hyperlink"/>
          </w:rPr>
          <w:t>https://anchor.fm/the-cure-podcast/episodes/Episode-20-Navigating-Chest-Pain-e1k5gks/a-a84pt50</w:t>
        </w:r>
      </w:hyperlink>
    </w:p>
    <w:p w:rsidR="009404AC" w:rsidRDefault="009404AC" w:rsidP="009404AC">
      <w:pPr>
        <w:spacing w:after="0"/>
        <w:ind w:left="720" w:right="900"/>
        <w:jc w:val="both"/>
      </w:pPr>
      <w:r>
        <w:t xml:space="preserve"> </w:t>
      </w:r>
    </w:p>
    <w:p w:rsidR="00101DAC" w:rsidRDefault="009404AC" w:rsidP="009404AC">
      <w:pPr>
        <w:spacing w:after="0"/>
        <w:ind w:left="720" w:right="900"/>
      </w:pPr>
      <w:r>
        <w:t xml:space="preserve">For </w:t>
      </w:r>
      <w:r w:rsidRPr="009404AC">
        <w:rPr>
          <w:b/>
        </w:rPr>
        <w:t>non-urgent</w:t>
      </w:r>
      <w:r>
        <w:t xml:space="preserve"> questions regarding this clinical laboratory update, please contact: </w:t>
      </w:r>
      <w:hyperlink r:id="rId6" w:history="1">
        <w:r w:rsidRPr="00B11603">
          <w:rPr>
            <w:rStyle w:val="Hyperlink"/>
          </w:rPr>
          <w:t>Jennifer.V.Pope@hitchcock.org</w:t>
        </w:r>
      </w:hyperlink>
      <w:r>
        <w:t xml:space="preserve"> for questions about t</w:t>
      </w:r>
      <w:r w:rsidR="00101DAC">
        <w:t>he rapid rule out algorithm</w:t>
      </w:r>
    </w:p>
    <w:p w:rsidR="009404AC" w:rsidRDefault="00093B02" w:rsidP="009404AC">
      <w:pPr>
        <w:spacing w:after="0"/>
        <w:ind w:left="720" w:right="900"/>
      </w:pPr>
      <w:hyperlink r:id="rId7" w:history="1">
        <w:r w:rsidR="009404AC" w:rsidRPr="00B11603">
          <w:rPr>
            <w:rStyle w:val="Hyperlink"/>
          </w:rPr>
          <w:t>Mark.A.Cervinski@hitchcock.org</w:t>
        </w:r>
      </w:hyperlink>
      <w:r w:rsidR="009404AC">
        <w:t xml:space="preserve"> for questions regarding the laboratory results report</w:t>
      </w:r>
      <w:r w:rsidR="00101DAC">
        <w:t>ing</w:t>
      </w:r>
    </w:p>
    <w:p w:rsidR="009404AC" w:rsidRDefault="009404AC" w:rsidP="009404AC">
      <w:pPr>
        <w:spacing w:after="0"/>
        <w:ind w:left="720" w:right="900"/>
        <w:jc w:val="both"/>
      </w:pPr>
    </w:p>
    <w:p w:rsidR="009404AC" w:rsidRDefault="009404AC" w:rsidP="009404AC">
      <w:pPr>
        <w:spacing w:after="0"/>
        <w:ind w:left="720" w:right="900"/>
        <w:jc w:val="both"/>
      </w:pPr>
      <w:r>
        <w:t xml:space="preserve">For </w:t>
      </w:r>
      <w:r w:rsidRPr="00813491">
        <w:rPr>
          <w:b/>
        </w:rPr>
        <w:t>urgent</w:t>
      </w:r>
      <w:r>
        <w:t xml:space="preserve"> questions about the interpretation of results and clinical assessment, please page the Cardiology Attending Physician or Cardiology Fellow on call.</w:t>
      </w:r>
    </w:p>
    <w:p w:rsidR="009404AC" w:rsidRDefault="009404AC" w:rsidP="009404AC">
      <w:pPr>
        <w:spacing w:after="0"/>
        <w:ind w:left="720" w:right="900"/>
        <w:jc w:val="both"/>
      </w:pPr>
    </w:p>
    <w:p w:rsidR="009404AC" w:rsidRDefault="009404AC" w:rsidP="009404AC">
      <w:pPr>
        <w:spacing w:after="0"/>
        <w:ind w:left="720" w:right="900"/>
        <w:jc w:val="both"/>
      </w:pPr>
    </w:p>
    <w:p w:rsidR="009404AC" w:rsidRDefault="009404AC" w:rsidP="009404AC">
      <w:pPr>
        <w:spacing w:after="0"/>
        <w:ind w:left="720" w:right="900"/>
        <w:jc w:val="both"/>
        <w:rPr>
          <w:noProof/>
        </w:rPr>
      </w:pPr>
    </w:p>
    <w:p w:rsidR="009404AC" w:rsidRDefault="009404AC" w:rsidP="009404AC">
      <w:pPr>
        <w:spacing w:after="0"/>
        <w:ind w:left="720" w:right="900"/>
        <w:jc w:val="both"/>
        <w:rPr>
          <w:noProof/>
        </w:rPr>
      </w:pPr>
    </w:p>
    <w:p w:rsidR="009404AC" w:rsidRDefault="009404AC" w:rsidP="009404AC">
      <w:pPr>
        <w:spacing w:after="0"/>
        <w:ind w:left="720" w:right="900"/>
        <w:jc w:val="both"/>
        <w:rPr>
          <w:noProof/>
        </w:rPr>
      </w:pPr>
    </w:p>
    <w:p w:rsidR="009404AC" w:rsidRDefault="009404AC" w:rsidP="009404AC">
      <w:pPr>
        <w:spacing w:after="0"/>
        <w:ind w:left="720" w:right="900"/>
        <w:jc w:val="both"/>
      </w:pPr>
    </w:p>
    <w:p w:rsidR="009404AC" w:rsidRDefault="009404AC" w:rsidP="009404AC">
      <w:pPr>
        <w:spacing w:after="0"/>
        <w:ind w:left="720" w:right="90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6D01B73" wp14:editId="08B9E6DE">
            <wp:simplePos x="0" y="0"/>
            <wp:positionH relativeFrom="column">
              <wp:posOffset>455930</wp:posOffset>
            </wp:positionH>
            <wp:positionV relativeFrom="page">
              <wp:posOffset>4518660</wp:posOffset>
            </wp:positionV>
            <wp:extent cx="6390005" cy="3594735"/>
            <wp:effectExtent l="0" t="0" r="0" b="571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hstrop presentation _ 20220915_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59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404AC" w:rsidRDefault="009404AC" w:rsidP="009404AC">
      <w:pPr>
        <w:spacing w:after="0"/>
        <w:ind w:left="720" w:right="90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DA8F30" wp14:editId="01B41BA7">
            <wp:simplePos x="0" y="0"/>
            <wp:positionH relativeFrom="column">
              <wp:posOffset>323215</wp:posOffset>
            </wp:positionH>
            <wp:positionV relativeFrom="page">
              <wp:posOffset>564834</wp:posOffset>
            </wp:positionV>
            <wp:extent cx="6500495" cy="3656330"/>
            <wp:effectExtent l="0" t="0" r="0" b="127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hstrop presentation _ 2022091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0495" cy="365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04AC" w:rsidRDefault="009404AC" w:rsidP="009404AC">
      <w:pPr>
        <w:spacing w:after="0"/>
        <w:ind w:left="720" w:right="900"/>
        <w:jc w:val="both"/>
      </w:pPr>
    </w:p>
    <w:p w:rsidR="008002FD" w:rsidRDefault="008002FD" w:rsidP="009404AC">
      <w:pPr>
        <w:jc w:val="both"/>
      </w:pPr>
    </w:p>
    <w:sectPr w:rsidR="008002FD" w:rsidSect="009404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AC"/>
    <w:rsid w:val="00093B02"/>
    <w:rsid w:val="00101DAC"/>
    <w:rsid w:val="00201375"/>
    <w:rsid w:val="00523670"/>
    <w:rsid w:val="008002FD"/>
    <w:rsid w:val="00813491"/>
    <w:rsid w:val="0094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1F04D-38B9-4391-A711-4692217E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9404AC"/>
    <w:rPr>
      <w:rFonts w:ascii="Arial" w:hAnsi="Arial" w:cs="Arial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04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mailto:Mark.A.Cervinski@hitchcoc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nnifer.V.Pope@hitchcock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nchor.fm/the-cure-podcast/episodes/Episode-20-Navigating-Chest-Pain-e1k5gks/a-a84pt5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hvideo.webex.com/recordingservice/sites/dhvideo/recording/819406ddd93a103ab7ff00505681e571/playback" TargetMode="Externa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Dartmouth-Hitchcock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A. Cervinski</dc:creator>
  <cp:keywords/>
  <dc:description/>
  <cp:lastModifiedBy>Mary E. O. Stella</cp:lastModifiedBy>
  <cp:revision>2</cp:revision>
  <dcterms:created xsi:type="dcterms:W3CDTF">2022-09-27T14:39:00Z</dcterms:created>
  <dcterms:modified xsi:type="dcterms:W3CDTF">2022-09-27T14:39:00Z</dcterms:modified>
</cp:coreProperties>
</file>