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  <w:bookmarkStart w:id="0" w:name="_GoBack"/>
      <w:bookmarkEnd w:id="0"/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3D621E6C" w14:textId="77777777" w:rsidR="00263CB7" w:rsidRPr="00D467DF" w:rsidRDefault="00263CB7" w:rsidP="00263CB7">
      <w:pPr>
        <w:rPr>
          <w:rFonts w:ascii="Calibri" w:eastAsia="Calibri" w:hAnsi="Calibri"/>
          <w:b/>
        </w:rPr>
      </w:pPr>
      <w:r w:rsidRPr="00D467DF">
        <w:rPr>
          <w:rFonts w:ascii="Calibri" w:eastAsia="Calibri" w:hAnsi="Calibri"/>
          <w:b/>
        </w:rPr>
        <w:t xml:space="preserve">To:  </w:t>
      </w:r>
      <w:r w:rsidRPr="00D467DF">
        <w:rPr>
          <w:rFonts w:ascii="Calibri" w:hAnsi="Calibri" w:cs="Calibri"/>
          <w:b/>
          <w:color w:val="212121"/>
        </w:rPr>
        <w:t>All D-HH Providers</w:t>
      </w:r>
    </w:p>
    <w:p w14:paraId="7835F943" w14:textId="77777777" w:rsidR="00263CB7" w:rsidRPr="00D467DF" w:rsidRDefault="00263CB7" w:rsidP="00263CB7">
      <w:pPr>
        <w:shd w:val="clear" w:color="auto" w:fill="FFFFFF"/>
        <w:rPr>
          <w:rFonts w:ascii="Segoe UI" w:hAnsi="Segoe UI" w:cs="Segoe UI"/>
          <w:b/>
          <w:color w:val="212121"/>
          <w:sz w:val="23"/>
          <w:szCs w:val="23"/>
        </w:rPr>
      </w:pPr>
      <w:r w:rsidRPr="00D467DF">
        <w:rPr>
          <w:rFonts w:ascii="Calibri" w:eastAsia="Calibri" w:hAnsi="Calibri"/>
          <w:b/>
        </w:rPr>
        <w:t xml:space="preserve">From: </w:t>
      </w:r>
      <w:r w:rsidRPr="00D467DF">
        <w:rPr>
          <w:rFonts w:ascii="Calibri" w:eastAsia="Calibri" w:hAnsi="Calibri"/>
          <w:b/>
        </w:rPr>
        <w:tab/>
      </w:r>
      <w:r w:rsidRPr="00D467DF">
        <w:rPr>
          <w:rFonts w:ascii="Calibri" w:hAnsi="Calibri" w:cs="Calibri"/>
          <w:b/>
          <w:color w:val="212121"/>
        </w:rPr>
        <w:t>Ella Martin, MD, Medical Director of Microbiology</w:t>
      </w:r>
    </w:p>
    <w:p w14:paraId="5D438B12" w14:textId="672034A6" w:rsidR="00263CB7" w:rsidRPr="00D467DF" w:rsidRDefault="00263CB7" w:rsidP="00263CB7">
      <w:pPr>
        <w:rPr>
          <w:rFonts w:ascii="Calibri" w:eastAsia="Calibri" w:hAnsi="Calibri"/>
          <w:b/>
        </w:rPr>
      </w:pPr>
      <w:r w:rsidRPr="00D467DF">
        <w:rPr>
          <w:rFonts w:ascii="Calibri" w:eastAsia="Calibri" w:hAnsi="Calibri"/>
          <w:b/>
        </w:rPr>
        <w:t xml:space="preserve">Date:   </w:t>
      </w:r>
      <w:r w:rsidR="007428DC">
        <w:rPr>
          <w:rFonts w:ascii="Calibri" w:hAnsi="Calibri" w:cs="Calibri"/>
          <w:b/>
          <w:color w:val="212121"/>
        </w:rPr>
        <w:t>April 1</w:t>
      </w:r>
      <w:r w:rsidRPr="00D467DF">
        <w:rPr>
          <w:rFonts w:ascii="Calibri" w:hAnsi="Calibri" w:cs="Calibri"/>
          <w:b/>
          <w:color w:val="212121"/>
        </w:rPr>
        <w:t>, 2022</w:t>
      </w:r>
    </w:p>
    <w:p w14:paraId="2086AB41" w14:textId="39C8D1A5" w:rsidR="00316FAE" w:rsidRPr="00D467DF" w:rsidRDefault="00263CB7" w:rsidP="00263CB7">
      <w:pPr>
        <w:rPr>
          <w:rFonts w:ascii="Calibri" w:eastAsia="Calibri" w:hAnsi="Calibri"/>
          <w:b/>
        </w:rPr>
      </w:pPr>
      <w:r w:rsidRPr="00D467DF">
        <w:rPr>
          <w:rFonts w:ascii="Calibri" w:eastAsia="Calibri" w:hAnsi="Calibri"/>
          <w:b/>
        </w:rPr>
        <w:t xml:space="preserve">RE:     </w:t>
      </w:r>
      <w:r w:rsidR="00C9520F" w:rsidRPr="00D467DF">
        <w:rPr>
          <w:rFonts w:ascii="Calibri" w:eastAsia="Calibri" w:hAnsi="Calibri"/>
          <w:b/>
        </w:rPr>
        <w:t>Cessation of Extended Blood Culture Holds</w:t>
      </w:r>
    </w:p>
    <w:p w14:paraId="69649DCC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408659B" w14:textId="4C1103B1" w:rsidR="0004322F" w:rsidRDefault="00FA270C" w:rsidP="00316FAE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>Effective immediately, t</w:t>
      </w:r>
      <w:r w:rsidR="0004322F">
        <w:rPr>
          <w:rFonts w:ascii="Calibri" w:eastAsia="Calibri" w:hAnsi="Calibri"/>
        </w:rPr>
        <w:t xml:space="preserve">he DHMC </w:t>
      </w:r>
      <w:r w:rsidR="00D467DF">
        <w:rPr>
          <w:rFonts w:ascii="Calibri" w:eastAsia="Calibri" w:hAnsi="Calibri"/>
        </w:rPr>
        <w:t xml:space="preserve">Clinical </w:t>
      </w:r>
      <w:r w:rsidR="0004322F">
        <w:rPr>
          <w:rFonts w:ascii="Calibri" w:eastAsia="Calibri" w:hAnsi="Calibri"/>
        </w:rPr>
        <w:t xml:space="preserve">Microbiology Laboratory will no longer extend the </w:t>
      </w:r>
      <w:r>
        <w:rPr>
          <w:rFonts w:ascii="Calibri" w:eastAsia="Calibri" w:hAnsi="Calibri"/>
        </w:rPr>
        <w:t>incubation</w:t>
      </w:r>
      <w:r w:rsidR="0004322F">
        <w:rPr>
          <w:rFonts w:ascii="Calibri" w:eastAsia="Calibri" w:hAnsi="Calibri"/>
        </w:rPr>
        <w:t xml:space="preserve"> of blood </w:t>
      </w:r>
      <w:r>
        <w:rPr>
          <w:rFonts w:ascii="Calibri" w:eastAsia="Calibri" w:hAnsi="Calibri"/>
        </w:rPr>
        <w:t>cultures for longer than 5 days</w:t>
      </w:r>
      <w:r w:rsidR="0004322F">
        <w:rPr>
          <w:rFonts w:ascii="Calibri" w:eastAsia="Calibri" w:hAnsi="Calibri"/>
        </w:rPr>
        <w:t xml:space="preserve">. </w:t>
      </w:r>
    </w:p>
    <w:p w14:paraId="51C43E78" w14:textId="77777777" w:rsidR="0004322F" w:rsidRPr="00316FAE" w:rsidRDefault="0004322F" w:rsidP="00316FAE">
      <w:pPr>
        <w:rPr>
          <w:rFonts w:ascii="Calibri" w:eastAsia="Calibri" w:hAnsi="Calibri"/>
        </w:rPr>
      </w:pPr>
    </w:p>
    <w:p w14:paraId="633178CB" w14:textId="34C6D3A0" w:rsidR="0004322F" w:rsidRDefault="0004322F" w:rsidP="0004322F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>Modern blood culture</w:t>
      </w:r>
      <w:r w:rsidR="00456CFB">
        <w:rPr>
          <w:rFonts w:ascii="Calibri" w:eastAsia="Calibri" w:hAnsi="Calibri"/>
        </w:rPr>
        <w:t xml:space="preserve"> bottles and</w:t>
      </w:r>
      <w:r w:rsidR="00D467DF">
        <w:rPr>
          <w:rFonts w:ascii="Calibri" w:eastAsia="Calibri" w:hAnsi="Calibri"/>
        </w:rPr>
        <w:t xml:space="preserve"> automated incubation</w:t>
      </w:r>
      <w:r>
        <w:rPr>
          <w:rFonts w:ascii="Calibri" w:eastAsia="Calibri" w:hAnsi="Calibri"/>
        </w:rPr>
        <w:t xml:space="preserve"> instruments are able </w:t>
      </w:r>
      <w:r w:rsidR="00456CFB">
        <w:rPr>
          <w:rFonts w:ascii="Calibri" w:eastAsia="Calibri" w:hAnsi="Calibri"/>
        </w:rPr>
        <w:t xml:space="preserve">to grow and </w:t>
      </w:r>
      <w:r>
        <w:rPr>
          <w:rFonts w:ascii="Calibri" w:eastAsia="Calibri" w:hAnsi="Calibri"/>
        </w:rPr>
        <w:t xml:space="preserve">detect bacteria and yeast pathogens (including the “HACEK” organisms) </w:t>
      </w:r>
      <w:r w:rsidR="00456CFB">
        <w:rPr>
          <w:rFonts w:ascii="Calibri" w:eastAsia="Calibri" w:hAnsi="Calibri"/>
        </w:rPr>
        <w:t>within the standard</w:t>
      </w:r>
      <w:r>
        <w:rPr>
          <w:rFonts w:ascii="Calibri" w:eastAsia="Calibri" w:hAnsi="Calibri"/>
        </w:rPr>
        <w:t xml:space="preserve"> 5-day incubation period. Our in-house data</w:t>
      </w:r>
      <w:r w:rsidR="00D37FEC">
        <w:rPr>
          <w:rFonts w:ascii="Calibri" w:eastAsia="Calibri" w:hAnsi="Calibri"/>
        </w:rPr>
        <w:t xml:space="preserve">, </w:t>
      </w:r>
      <w:r>
        <w:rPr>
          <w:rFonts w:ascii="Calibri" w:eastAsia="Calibri" w:hAnsi="Calibri"/>
        </w:rPr>
        <w:t>multiple large studies</w:t>
      </w:r>
      <w:r w:rsidR="007428DC">
        <w:rPr>
          <w:rFonts w:ascii="Calibri" w:eastAsia="Calibri" w:hAnsi="Calibri"/>
        </w:rPr>
        <w:t xml:space="preserve"> and </w:t>
      </w:r>
      <w:r w:rsidR="00D37FEC">
        <w:rPr>
          <w:rFonts w:ascii="Calibri" w:eastAsia="Calibri" w:hAnsi="Calibri"/>
        </w:rPr>
        <w:t>national laboratory guideline</w:t>
      </w:r>
      <w:r w:rsidR="007428DC">
        <w:rPr>
          <w:rFonts w:ascii="Calibri" w:eastAsia="Calibri" w:hAnsi="Calibri"/>
        </w:rPr>
        <w:t>s</w:t>
      </w:r>
      <w:r>
        <w:rPr>
          <w:rFonts w:ascii="Calibri" w:eastAsia="Calibri" w:hAnsi="Calibri"/>
        </w:rPr>
        <w:t xml:space="preserve"> support the lack of diagnostic yield from extend</w:t>
      </w:r>
      <w:r w:rsidR="00DE2BE8">
        <w:rPr>
          <w:rFonts w:ascii="Calibri" w:eastAsia="Calibri" w:hAnsi="Calibri"/>
        </w:rPr>
        <w:t>ed</w:t>
      </w:r>
      <w:r>
        <w:rPr>
          <w:rFonts w:ascii="Calibri" w:eastAsia="Calibri" w:hAnsi="Calibri"/>
        </w:rPr>
        <w:t xml:space="preserve"> blood culture </w:t>
      </w:r>
      <w:r w:rsidR="00D37FEC">
        <w:rPr>
          <w:rFonts w:ascii="Calibri" w:eastAsia="Calibri" w:hAnsi="Calibri"/>
        </w:rPr>
        <w:t>incubation</w:t>
      </w:r>
      <w:r>
        <w:rPr>
          <w:rFonts w:ascii="Calibri" w:eastAsia="Calibri" w:hAnsi="Calibri"/>
        </w:rPr>
        <w:t>.</w:t>
      </w:r>
    </w:p>
    <w:p w14:paraId="7BF07F09" w14:textId="544674FA" w:rsidR="002762E0" w:rsidRDefault="002762E0" w:rsidP="0004322F">
      <w:pPr>
        <w:rPr>
          <w:rFonts w:ascii="Calibri" w:eastAsia="Calibri" w:hAnsi="Calibri"/>
        </w:rPr>
      </w:pPr>
    </w:p>
    <w:p w14:paraId="2E028CA3" w14:textId="50A085BF" w:rsidR="002762E0" w:rsidRPr="00D467DF" w:rsidRDefault="002762E0" w:rsidP="0004322F">
      <w:pPr>
        <w:rPr>
          <w:rFonts w:ascii="Calibri" w:eastAsia="Calibri" w:hAnsi="Calibri"/>
          <w:b/>
        </w:rPr>
      </w:pPr>
      <w:r w:rsidRPr="00D467DF">
        <w:rPr>
          <w:rFonts w:ascii="Calibri" w:eastAsia="Calibri" w:hAnsi="Calibri"/>
          <w:b/>
        </w:rPr>
        <w:t>References:</w:t>
      </w:r>
    </w:p>
    <w:p w14:paraId="3937BDCA" w14:textId="2A78BA36" w:rsidR="002762E0" w:rsidRDefault="002762E0" w:rsidP="0004322F">
      <w:pPr>
        <w:rPr>
          <w:rFonts w:ascii="Calibri" w:eastAsia="Calibri" w:hAnsi="Calibri"/>
        </w:rPr>
      </w:pPr>
    </w:p>
    <w:p w14:paraId="748C7C8F" w14:textId="620A15E1" w:rsidR="002762E0" w:rsidRPr="00D467DF" w:rsidRDefault="002762E0" w:rsidP="0004322F">
      <w:pPr>
        <w:rPr>
          <w:rFonts w:ascii="Calibri" w:eastAsia="Calibri" w:hAnsi="Calibri"/>
          <w:sz w:val="20"/>
          <w:szCs w:val="20"/>
        </w:rPr>
      </w:pPr>
      <w:r w:rsidRPr="00D467DF">
        <w:rPr>
          <w:rFonts w:ascii="Calibri" w:eastAsia="Calibri" w:hAnsi="Calibri"/>
          <w:sz w:val="20"/>
          <w:szCs w:val="20"/>
        </w:rPr>
        <w:t xml:space="preserve">1) Petti CA, Bhally HS, Weinstein MP et al. “Utility of Extended Blood Culture Incubation for Isolation of </w:t>
      </w:r>
      <w:r w:rsidRPr="007428DC">
        <w:rPr>
          <w:rFonts w:ascii="Calibri" w:eastAsia="Calibri" w:hAnsi="Calibri"/>
          <w:i/>
          <w:sz w:val="20"/>
          <w:szCs w:val="20"/>
        </w:rPr>
        <w:t>Haemophilus</w:t>
      </w:r>
      <w:r w:rsidRPr="00D467DF">
        <w:rPr>
          <w:rFonts w:ascii="Calibri" w:eastAsia="Calibri" w:hAnsi="Calibri"/>
          <w:sz w:val="20"/>
          <w:szCs w:val="20"/>
        </w:rPr>
        <w:t xml:space="preserve">, </w:t>
      </w:r>
      <w:r w:rsidRPr="007428DC">
        <w:rPr>
          <w:rFonts w:ascii="Calibri" w:eastAsia="Calibri" w:hAnsi="Calibri"/>
          <w:i/>
          <w:sz w:val="20"/>
          <w:szCs w:val="20"/>
        </w:rPr>
        <w:t>Actinobacillus</w:t>
      </w:r>
      <w:r w:rsidRPr="00D467DF">
        <w:rPr>
          <w:rFonts w:ascii="Calibri" w:eastAsia="Calibri" w:hAnsi="Calibri"/>
          <w:sz w:val="20"/>
          <w:szCs w:val="20"/>
        </w:rPr>
        <w:t xml:space="preserve">, </w:t>
      </w:r>
      <w:r w:rsidRPr="007428DC">
        <w:rPr>
          <w:rFonts w:ascii="Calibri" w:eastAsia="Calibri" w:hAnsi="Calibri"/>
          <w:i/>
          <w:sz w:val="20"/>
          <w:szCs w:val="20"/>
        </w:rPr>
        <w:t>Cardiobacterium</w:t>
      </w:r>
      <w:r w:rsidRPr="00D467DF">
        <w:rPr>
          <w:rFonts w:ascii="Calibri" w:eastAsia="Calibri" w:hAnsi="Calibri"/>
          <w:sz w:val="20"/>
          <w:szCs w:val="20"/>
        </w:rPr>
        <w:t xml:space="preserve">, </w:t>
      </w:r>
      <w:r w:rsidRPr="007428DC">
        <w:rPr>
          <w:rFonts w:ascii="Calibri" w:eastAsia="Calibri" w:hAnsi="Calibri"/>
          <w:i/>
          <w:sz w:val="20"/>
          <w:szCs w:val="20"/>
        </w:rPr>
        <w:t>Eikenella</w:t>
      </w:r>
      <w:r w:rsidRPr="00D467DF">
        <w:rPr>
          <w:rFonts w:ascii="Calibri" w:eastAsia="Calibri" w:hAnsi="Calibri"/>
          <w:sz w:val="20"/>
          <w:szCs w:val="20"/>
        </w:rPr>
        <w:t xml:space="preserve"> and </w:t>
      </w:r>
      <w:r w:rsidRPr="007428DC">
        <w:rPr>
          <w:rFonts w:ascii="Calibri" w:eastAsia="Calibri" w:hAnsi="Calibri"/>
          <w:i/>
          <w:sz w:val="20"/>
          <w:szCs w:val="20"/>
        </w:rPr>
        <w:t>Kin</w:t>
      </w:r>
      <w:r w:rsidR="007428DC" w:rsidRPr="007428DC">
        <w:rPr>
          <w:rFonts w:ascii="Calibri" w:eastAsia="Calibri" w:hAnsi="Calibri"/>
          <w:i/>
          <w:sz w:val="20"/>
          <w:szCs w:val="20"/>
        </w:rPr>
        <w:t>g</w:t>
      </w:r>
      <w:r w:rsidRPr="007428DC">
        <w:rPr>
          <w:rFonts w:ascii="Calibri" w:eastAsia="Calibri" w:hAnsi="Calibri"/>
          <w:i/>
          <w:sz w:val="20"/>
          <w:szCs w:val="20"/>
        </w:rPr>
        <w:t>ella</w:t>
      </w:r>
      <w:r w:rsidRPr="00D467DF">
        <w:rPr>
          <w:rFonts w:ascii="Calibri" w:eastAsia="Calibri" w:hAnsi="Calibri"/>
          <w:sz w:val="20"/>
          <w:szCs w:val="20"/>
        </w:rPr>
        <w:t xml:space="preserve"> Organisms: a Retrospective Multicenter Evaluation.”  </w:t>
      </w:r>
      <w:r w:rsidRPr="007428DC">
        <w:rPr>
          <w:rFonts w:ascii="Calibri" w:eastAsia="Calibri" w:hAnsi="Calibri"/>
          <w:i/>
          <w:sz w:val="20"/>
          <w:szCs w:val="20"/>
        </w:rPr>
        <w:t>Journal of Clinical Microbiology</w:t>
      </w:r>
      <w:r w:rsidRPr="00D467DF">
        <w:rPr>
          <w:rFonts w:ascii="Calibri" w:eastAsia="Calibri" w:hAnsi="Calibri"/>
          <w:sz w:val="20"/>
          <w:szCs w:val="20"/>
        </w:rPr>
        <w:t>. 2006;44(1):257-259.</w:t>
      </w:r>
    </w:p>
    <w:p w14:paraId="26BABD2E" w14:textId="64F84D2C" w:rsidR="002762E0" w:rsidRPr="00D467DF" w:rsidRDefault="002762E0" w:rsidP="0004322F">
      <w:pPr>
        <w:rPr>
          <w:rFonts w:ascii="Calibri" w:eastAsia="Calibri" w:hAnsi="Calibri"/>
          <w:sz w:val="20"/>
          <w:szCs w:val="20"/>
        </w:rPr>
      </w:pPr>
    </w:p>
    <w:p w14:paraId="3BF90424" w14:textId="44A45AEF" w:rsidR="002762E0" w:rsidRPr="00D467DF" w:rsidRDefault="002762E0" w:rsidP="0004322F">
      <w:pPr>
        <w:rPr>
          <w:rFonts w:ascii="Calibri" w:eastAsia="Calibri" w:hAnsi="Calibri"/>
          <w:sz w:val="20"/>
          <w:szCs w:val="20"/>
        </w:rPr>
      </w:pPr>
      <w:r w:rsidRPr="00D467DF">
        <w:rPr>
          <w:rFonts w:ascii="Calibri" w:eastAsia="Calibri" w:hAnsi="Calibri"/>
          <w:sz w:val="20"/>
          <w:szCs w:val="20"/>
        </w:rPr>
        <w:t>2) Baron EJ, Scott JD, Tompkins LS. “</w:t>
      </w:r>
      <w:r w:rsidR="00FA270C">
        <w:rPr>
          <w:rFonts w:ascii="Calibri" w:eastAsia="Calibri" w:hAnsi="Calibri"/>
          <w:sz w:val="20"/>
          <w:szCs w:val="20"/>
        </w:rPr>
        <w:t>Prolonged Incubation and Extensive Subculturing do not Increase Recovery of C</w:t>
      </w:r>
      <w:r w:rsidRPr="00D467DF">
        <w:rPr>
          <w:rFonts w:ascii="Calibri" w:eastAsia="Calibri" w:hAnsi="Calibri"/>
          <w:sz w:val="20"/>
          <w:szCs w:val="20"/>
        </w:rPr>
        <w:t xml:space="preserve">linically </w:t>
      </w:r>
      <w:r w:rsidR="00FA270C">
        <w:rPr>
          <w:rFonts w:ascii="Calibri" w:eastAsia="Calibri" w:hAnsi="Calibri"/>
          <w:sz w:val="20"/>
          <w:szCs w:val="20"/>
        </w:rPr>
        <w:t>S</w:t>
      </w:r>
      <w:r w:rsidR="007428DC">
        <w:rPr>
          <w:rFonts w:ascii="Calibri" w:eastAsia="Calibri" w:hAnsi="Calibri"/>
          <w:sz w:val="20"/>
          <w:szCs w:val="20"/>
        </w:rPr>
        <w:t>ignificant Microorganisms from Standard Automated Blood C</w:t>
      </w:r>
      <w:r w:rsidRPr="00D467DF">
        <w:rPr>
          <w:rFonts w:ascii="Calibri" w:eastAsia="Calibri" w:hAnsi="Calibri"/>
          <w:sz w:val="20"/>
          <w:szCs w:val="20"/>
        </w:rPr>
        <w:t xml:space="preserve">ultures.” </w:t>
      </w:r>
      <w:r w:rsidRPr="007428DC">
        <w:rPr>
          <w:rFonts w:ascii="Calibri" w:eastAsia="Calibri" w:hAnsi="Calibri"/>
          <w:i/>
          <w:sz w:val="20"/>
          <w:szCs w:val="20"/>
        </w:rPr>
        <w:t>Clinical Infectious Disease</w:t>
      </w:r>
      <w:r w:rsidRPr="00D467DF">
        <w:rPr>
          <w:rFonts w:ascii="Calibri" w:eastAsia="Calibri" w:hAnsi="Calibri"/>
          <w:sz w:val="20"/>
          <w:szCs w:val="20"/>
        </w:rPr>
        <w:t>. 2005;41(11):1677-1680.</w:t>
      </w:r>
    </w:p>
    <w:p w14:paraId="0DB0F340" w14:textId="77777777" w:rsidR="002762E0" w:rsidRPr="00D467DF" w:rsidRDefault="002762E0" w:rsidP="0004322F">
      <w:pPr>
        <w:rPr>
          <w:rFonts w:ascii="Calibri" w:eastAsia="Calibri" w:hAnsi="Calibri"/>
          <w:sz w:val="20"/>
          <w:szCs w:val="20"/>
        </w:rPr>
      </w:pPr>
    </w:p>
    <w:p w14:paraId="5E3584BE" w14:textId="316A9CB2" w:rsidR="002762E0" w:rsidRPr="00D467DF" w:rsidRDefault="002762E0" w:rsidP="0004322F">
      <w:pPr>
        <w:rPr>
          <w:rFonts w:ascii="Calibri" w:eastAsia="Calibri" w:hAnsi="Calibri"/>
          <w:sz w:val="20"/>
          <w:szCs w:val="20"/>
        </w:rPr>
      </w:pPr>
      <w:r w:rsidRPr="00D467DF">
        <w:rPr>
          <w:rFonts w:ascii="Calibri" w:eastAsia="Calibri" w:hAnsi="Calibri"/>
          <w:sz w:val="20"/>
          <w:szCs w:val="20"/>
        </w:rPr>
        <w:t>3) Ransom EM, Alipour Z, Wallace MA, Burnham CA. “Evaluation of Optimal</w:t>
      </w:r>
      <w:r w:rsidR="007428DC">
        <w:rPr>
          <w:rFonts w:ascii="Calibri" w:eastAsia="Calibri" w:hAnsi="Calibri"/>
          <w:sz w:val="20"/>
          <w:szCs w:val="20"/>
        </w:rPr>
        <w:t xml:space="preserve"> Blood Culture Incubation Time t</w:t>
      </w:r>
      <w:r w:rsidRPr="00D467DF">
        <w:rPr>
          <w:rFonts w:ascii="Calibri" w:eastAsia="Calibri" w:hAnsi="Calibri"/>
          <w:sz w:val="20"/>
          <w:szCs w:val="20"/>
        </w:rPr>
        <w:t>o Maximize Clinically Relevant Results from a Contemporary Blood Culture Instrument and Media System.”</w:t>
      </w:r>
      <w:r w:rsidR="00FA270C">
        <w:rPr>
          <w:rFonts w:ascii="Calibri" w:eastAsia="Calibri" w:hAnsi="Calibri"/>
          <w:sz w:val="20"/>
          <w:szCs w:val="20"/>
        </w:rPr>
        <w:t xml:space="preserve"> </w:t>
      </w:r>
      <w:r w:rsidR="00FA270C" w:rsidRPr="007428DC">
        <w:rPr>
          <w:rFonts w:ascii="Calibri" w:eastAsia="Calibri" w:hAnsi="Calibri"/>
          <w:i/>
          <w:sz w:val="20"/>
          <w:szCs w:val="20"/>
        </w:rPr>
        <w:t>Jou</w:t>
      </w:r>
      <w:r w:rsidRPr="007428DC">
        <w:rPr>
          <w:rFonts w:ascii="Calibri" w:eastAsia="Calibri" w:hAnsi="Calibri"/>
          <w:i/>
          <w:sz w:val="20"/>
          <w:szCs w:val="20"/>
        </w:rPr>
        <w:t>r</w:t>
      </w:r>
      <w:r w:rsidR="00FA270C" w:rsidRPr="007428DC">
        <w:rPr>
          <w:rFonts w:ascii="Calibri" w:eastAsia="Calibri" w:hAnsi="Calibri"/>
          <w:i/>
          <w:sz w:val="20"/>
          <w:szCs w:val="20"/>
        </w:rPr>
        <w:t>n</w:t>
      </w:r>
      <w:r w:rsidRPr="007428DC">
        <w:rPr>
          <w:rFonts w:ascii="Calibri" w:eastAsia="Calibri" w:hAnsi="Calibri"/>
          <w:i/>
          <w:sz w:val="20"/>
          <w:szCs w:val="20"/>
        </w:rPr>
        <w:t>al of Clinical Microbiology</w:t>
      </w:r>
      <w:r w:rsidRPr="00D467DF">
        <w:rPr>
          <w:rFonts w:ascii="Calibri" w:eastAsia="Calibri" w:hAnsi="Calibri"/>
          <w:sz w:val="20"/>
          <w:szCs w:val="20"/>
        </w:rPr>
        <w:t>.  2021:59(3)</w:t>
      </w:r>
    </w:p>
    <w:p w14:paraId="11A76008" w14:textId="77777777" w:rsidR="002762E0" w:rsidRPr="00D467DF" w:rsidRDefault="002762E0" w:rsidP="0004322F">
      <w:pPr>
        <w:rPr>
          <w:rFonts w:ascii="Calibri" w:eastAsia="Calibri" w:hAnsi="Calibri"/>
          <w:sz w:val="20"/>
          <w:szCs w:val="20"/>
        </w:rPr>
      </w:pPr>
    </w:p>
    <w:p w14:paraId="190B3413" w14:textId="32534C09" w:rsidR="00456CFB" w:rsidRPr="00D467DF" w:rsidRDefault="002762E0" w:rsidP="0004322F">
      <w:pPr>
        <w:rPr>
          <w:rFonts w:ascii="Calibri" w:eastAsia="Calibri" w:hAnsi="Calibri"/>
          <w:sz w:val="20"/>
          <w:szCs w:val="20"/>
        </w:rPr>
      </w:pPr>
      <w:r w:rsidRPr="00D467DF">
        <w:rPr>
          <w:rFonts w:ascii="Calibri" w:eastAsia="Calibri" w:hAnsi="Calibri"/>
          <w:sz w:val="20"/>
          <w:szCs w:val="20"/>
        </w:rPr>
        <w:t xml:space="preserve">4)  </w:t>
      </w:r>
      <w:r w:rsidR="007428DC" w:rsidRPr="00D467DF">
        <w:rPr>
          <w:rFonts w:ascii="Calibri" w:eastAsia="Calibri" w:hAnsi="Calibri"/>
          <w:sz w:val="20"/>
          <w:szCs w:val="20"/>
        </w:rPr>
        <w:t>Clinical and Laboratory</w:t>
      </w:r>
      <w:r w:rsidR="007428DC">
        <w:rPr>
          <w:rFonts w:ascii="Calibri" w:eastAsia="Calibri" w:hAnsi="Calibri"/>
          <w:sz w:val="20"/>
          <w:szCs w:val="20"/>
        </w:rPr>
        <w:t xml:space="preserve"> Standards Institute (CLSI).</w:t>
      </w:r>
      <w:r w:rsidR="007428DC" w:rsidRPr="00D467DF">
        <w:rPr>
          <w:rFonts w:ascii="Calibri" w:eastAsia="Calibri" w:hAnsi="Calibri"/>
          <w:sz w:val="20"/>
          <w:szCs w:val="20"/>
        </w:rPr>
        <w:t xml:space="preserve"> </w:t>
      </w:r>
      <w:r w:rsidRPr="00D467DF">
        <w:rPr>
          <w:rFonts w:ascii="Calibri" w:eastAsia="Calibri" w:hAnsi="Calibri"/>
          <w:sz w:val="20"/>
          <w:szCs w:val="20"/>
        </w:rPr>
        <w:t>Principles and Procedures for Blood Cultures</w:t>
      </w:r>
      <w:r w:rsidR="007428DC">
        <w:rPr>
          <w:rFonts w:ascii="Calibri" w:eastAsia="Calibri" w:hAnsi="Calibri"/>
          <w:sz w:val="20"/>
          <w:szCs w:val="20"/>
        </w:rPr>
        <w:t>:</w:t>
      </w:r>
      <w:r w:rsidRPr="00D467DF">
        <w:rPr>
          <w:rFonts w:ascii="Calibri" w:eastAsia="Calibri" w:hAnsi="Calibri"/>
          <w:sz w:val="20"/>
          <w:szCs w:val="20"/>
        </w:rPr>
        <w:t xml:space="preserve"> Approved Guideline. CLSI document M47-A.</w:t>
      </w:r>
      <w:r w:rsidR="007428DC">
        <w:rPr>
          <w:rFonts w:ascii="Calibri" w:eastAsia="Calibri" w:hAnsi="Calibri"/>
          <w:sz w:val="20"/>
          <w:szCs w:val="20"/>
        </w:rPr>
        <w:t xml:space="preserve"> Wayne, PA: 2007.</w:t>
      </w:r>
    </w:p>
    <w:p w14:paraId="2F6DC66B" w14:textId="77777777" w:rsidR="002762E0" w:rsidRDefault="002762E0" w:rsidP="0004322F">
      <w:pPr>
        <w:rPr>
          <w:rFonts w:ascii="Calibri" w:eastAsia="Calibri" w:hAnsi="Calibri"/>
        </w:rPr>
      </w:pPr>
    </w:p>
    <w:p w14:paraId="15396A3C" w14:textId="03E28F72" w:rsidR="00456CFB" w:rsidRPr="003A1BAB" w:rsidRDefault="00456CFB" w:rsidP="00456CFB">
      <w:pPr>
        <w:ind w:right="90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</w:t>
      </w:r>
      <w:r w:rsidRPr="003A1BAB">
        <w:rPr>
          <w:rFonts w:asciiTheme="minorHAnsi" w:hAnsiTheme="minorHAnsi" w:cstheme="minorHAnsi"/>
          <w:b/>
        </w:rPr>
        <w:t xml:space="preserve">or </w:t>
      </w:r>
      <w:r>
        <w:rPr>
          <w:rFonts w:asciiTheme="minorHAnsi" w:hAnsiTheme="minorHAnsi" w:cstheme="minorHAnsi"/>
          <w:b/>
        </w:rPr>
        <w:t>questions or additional information, please contact</w:t>
      </w:r>
      <w:r w:rsidRPr="003A1BAB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 xml:space="preserve"> Ella Martin, MD at isabella.w.martin@hitchcock.org.</w:t>
      </w:r>
    </w:p>
    <w:p w14:paraId="7D877F11" w14:textId="77777777" w:rsidR="00456CFB" w:rsidRDefault="00456CFB" w:rsidP="0004322F">
      <w:pPr>
        <w:rPr>
          <w:rFonts w:ascii="Calibri" w:eastAsia="Calibri" w:hAnsi="Calibri"/>
        </w:rPr>
      </w:pPr>
    </w:p>
    <w:p w14:paraId="7BF3FFE6" w14:textId="77777777" w:rsidR="0004322F" w:rsidRDefault="0004322F" w:rsidP="0004322F">
      <w:pPr>
        <w:rPr>
          <w:rFonts w:ascii="Calibri" w:eastAsia="Calibri" w:hAnsi="Calibri"/>
        </w:rPr>
      </w:pP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1AF5A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09C227D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BF2316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CF8F70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47D01BC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BD530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A3F5109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7F43985" w14:textId="524BDDF8" w:rsidR="002566AD" w:rsidRDefault="002566AD" w:rsidP="00F4221E">
      <w:pPr>
        <w:ind w:right="900"/>
        <w:rPr>
          <w:rFonts w:asciiTheme="minorHAnsi" w:hAnsiTheme="minorHAnsi" w:cstheme="minorHAnsi"/>
        </w:rPr>
      </w:pPr>
    </w:p>
    <w:sectPr w:rsidR="002566AD" w:rsidSect="004530EB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C47EE" w14:textId="77777777" w:rsidR="00477D98" w:rsidRDefault="00477D98">
      <w:r>
        <w:separator/>
      </w:r>
    </w:p>
  </w:endnote>
  <w:endnote w:type="continuationSeparator" w:id="0">
    <w:p w14:paraId="20F8E755" w14:textId="77777777" w:rsidR="00477D98" w:rsidRDefault="0047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0E307FF-C0B7-4C9D-9EF7-72D851BF81B5}"/>
    <w:embedBold r:id="rId2" w:fontKey="{30B84FAC-7CA4-4DF0-A906-CBDC167C5D4C}"/>
    <w:embedItalic r:id="rId3" w:fontKey="{E8AC5378-53B4-42D5-95AC-30B6F5F5715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Std Light">
    <w:altName w:val="Leelawadee UI Semilight"/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0F1AA" w14:textId="77777777" w:rsidR="00477D98" w:rsidRDefault="00477D98">
      <w:r>
        <w:separator/>
      </w:r>
    </w:p>
  </w:footnote>
  <w:footnote w:type="continuationSeparator" w:id="0">
    <w:p w14:paraId="14E2F49D" w14:textId="77777777" w:rsidR="00477D98" w:rsidRDefault="00477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3CFE4387" w:rsidR="000F355B" w:rsidRDefault="000F355B">
    <w:pPr>
      <w:pStyle w:val="Header"/>
    </w:pPr>
    <w:r>
      <w:rPr>
        <w:noProof/>
      </w:rPr>
      <w:drawing>
        <wp:inline distT="0" distB="0" distL="0" distR="0" wp14:anchorId="0171770D" wp14:editId="78F0DB80">
          <wp:extent cx="6772275" cy="847725"/>
          <wp:effectExtent l="0" t="0" r="9525" b="9525"/>
          <wp:docPr id="71" name="Picture 7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77651" cy="848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13567"/>
    <w:rsid w:val="000232E8"/>
    <w:rsid w:val="00036876"/>
    <w:rsid w:val="0004322F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8370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63CB7"/>
    <w:rsid w:val="002762E0"/>
    <w:rsid w:val="002A3B3F"/>
    <w:rsid w:val="002E4271"/>
    <w:rsid w:val="00316FAE"/>
    <w:rsid w:val="00327208"/>
    <w:rsid w:val="00330888"/>
    <w:rsid w:val="003A1BAB"/>
    <w:rsid w:val="003C102F"/>
    <w:rsid w:val="003C587E"/>
    <w:rsid w:val="003E573E"/>
    <w:rsid w:val="00437772"/>
    <w:rsid w:val="00442490"/>
    <w:rsid w:val="004530EB"/>
    <w:rsid w:val="00456CFB"/>
    <w:rsid w:val="00476A7A"/>
    <w:rsid w:val="00477D98"/>
    <w:rsid w:val="004E1A02"/>
    <w:rsid w:val="00531357"/>
    <w:rsid w:val="00531BF8"/>
    <w:rsid w:val="00553294"/>
    <w:rsid w:val="00561CF7"/>
    <w:rsid w:val="005A1FFE"/>
    <w:rsid w:val="005A604E"/>
    <w:rsid w:val="005C5C49"/>
    <w:rsid w:val="00616F93"/>
    <w:rsid w:val="006468FD"/>
    <w:rsid w:val="00683AF9"/>
    <w:rsid w:val="00686D4F"/>
    <w:rsid w:val="006B1DF1"/>
    <w:rsid w:val="006C0036"/>
    <w:rsid w:val="006C4FB0"/>
    <w:rsid w:val="006E1377"/>
    <w:rsid w:val="007065DB"/>
    <w:rsid w:val="007428DC"/>
    <w:rsid w:val="00765A72"/>
    <w:rsid w:val="00784879"/>
    <w:rsid w:val="007908A3"/>
    <w:rsid w:val="007A2D15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9E7688"/>
    <w:rsid w:val="00A061F5"/>
    <w:rsid w:val="00A21B12"/>
    <w:rsid w:val="00A241C5"/>
    <w:rsid w:val="00A462CF"/>
    <w:rsid w:val="00A54067"/>
    <w:rsid w:val="00A71416"/>
    <w:rsid w:val="00AB10F3"/>
    <w:rsid w:val="00AB1F55"/>
    <w:rsid w:val="00AC3E86"/>
    <w:rsid w:val="00AC76FF"/>
    <w:rsid w:val="00AD1174"/>
    <w:rsid w:val="00AF750B"/>
    <w:rsid w:val="00B04F3C"/>
    <w:rsid w:val="00B2181C"/>
    <w:rsid w:val="00B24ABF"/>
    <w:rsid w:val="00B35983"/>
    <w:rsid w:val="00B56BE5"/>
    <w:rsid w:val="00B622D0"/>
    <w:rsid w:val="00B7412B"/>
    <w:rsid w:val="00C14CF3"/>
    <w:rsid w:val="00C80E87"/>
    <w:rsid w:val="00C83214"/>
    <w:rsid w:val="00C9520F"/>
    <w:rsid w:val="00CA3D80"/>
    <w:rsid w:val="00CA5218"/>
    <w:rsid w:val="00CB2A4B"/>
    <w:rsid w:val="00CD7CA1"/>
    <w:rsid w:val="00D27125"/>
    <w:rsid w:val="00D272D9"/>
    <w:rsid w:val="00D37FEC"/>
    <w:rsid w:val="00D46182"/>
    <w:rsid w:val="00D467DF"/>
    <w:rsid w:val="00DA207C"/>
    <w:rsid w:val="00DB3AB4"/>
    <w:rsid w:val="00DD5E9D"/>
    <w:rsid w:val="00DE26CE"/>
    <w:rsid w:val="00DE2BE8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  <w:rsid w:val="00FA27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7CF7B-900A-4582-A725-DC3938F01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Sylvie Seguin</cp:lastModifiedBy>
  <cp:revision>2</cp:revision>
  <cp:lastPrinted>2021-05-27T16:36:00Z</cp:lastPrinted>
  <dcterms:created xsi:type="dcterms:W3CDTF">2022-04-04T12:59:00Z</dcterms:created>
  <dcterms:modified xsi:type="dcterms:W3CDTF">2022-04-04T12:59:00Z</dcterms:modified>
</cp:coreProperties>
</file>