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2CB768B7" w14:textId="77777777" w:rsidR="00D15A0A" w:rsidRPr="00316FAE" w:rsidRDefault="00D15A0A" w:rsidP="00D15A0A">
      <w:pPr>
        <w:rPr>
          <w:rFonts w:ascii="Calibri" w:eastAsia="Calibri" w:hAnsi="Calibri"/>
        </w:rPr>
      </w:pPr>
      <w:r w:rsidRPr="009A2EF4">
        <w:rPr>
          <w:rFonts w:ascii="Calibri" w:eastAsia="Calibri" w:hAnsi="Calibri"/>
          <w:b/>
        </w:rPr>
        <w:t>Date:</w:t>
      </w:r>
      <w:r w:rsidRPr="00316FAE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 xml:space="preserve">       May 25, 2022</w:t>
      </w:r>
    </w:p>
    <w:p w14:paraId="1338F034" w14:textId="77777777" w:rsidR="00D15A0A" w:rsidRDefault="00D15A0A" w:rsidP="00D15A0A">
      <w:pPr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To:            </w:t>
      </w:r>
      <w:r w:rsidRPr="003159D2">
        <w:rPr>
          <w:rFonts w:ascii="Calibri" w:eastAsia="Calibri" w:hAnsi="Calibri"/>
        </w:rPr>
        <w:t>All D-HH Physicians, Advanced Practice Providers, Residents and Fellows</w:t>
      </w:r>
    </w:p>
    <w:p w14:paraId="0A63A574" w14:textId="77777777" w:rsidR="00D15A0A" w:rsidRDefault="00D15A0A" w:rsidP="00D15A0A">
      <w:pPr>
        <w:rPr>
          <w:rFonts w:ascii="Calibri" w:eastAsia="Calibri" w:hAnsi="Calibri"/>
        </w:rPr>
      </w:pPr>
      <w:r w:rsidRPr="009A2EF4">
        <w:rPr>
          <w:rFonts w:ascii="Calibri" w:eastAsia="Calibri" w:hAnsi="Calibri"/>
          <w:b/>
        </w:rPr>
        <w:t>From:</w:t>
      </w:r>
      <w:r w:rsidRPr="00316FAE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 xml:space="preserve">      </w:t>
      </w:r>
      <w:r w:rsidRPr="003826F4">
        <w:rPr>
          <w:rFonts w:ascii="Calibri" w:eastAsia="Calibri" w:hAnsi="Calibri"/>
        </w:rPr>
        <w:t>Isabella W. Martin</w:t>
      </w:r>
      <w:r>
        <w:rPr>
          <w:rFonts w:ascii="Calibri" w:eastAsia="Calibri" w:hAnsi="Calibri"/>
        </w:rPr>
        <w:t xml:space="preserve">, MD, </w:t>
      </w:r>
      <w:proofErr w:type="gramStart"/>
      <w:r>
        <w:rPr>
          <w:rFonts w:ascii="Calibri" w:eastAsia="Calibri" w:hAnsi="Calibri"/>
        </w:rPr>
        <w:t>D(</w:t>
      </w:r>
      <w:proofErr w:type="gramEnd"/>
      <w:r>
        <w:rPr>
          <w:rFonts w:ascii="Calibri" w:eastAsia="Calibri" w:hAnsi="Calibri"/>
        </w:rPr>
        <w:t>ABMM),  Medical Director of the Clinical Microbiology Laboratory</w:t>
      </w:r>
    </w:p>
    <w:p w14:paraId="2BCF0D36" w14:textId="77777777" w:rsidR="00D15A0A" w:rsidRPr="00442490" w:rsidRDefault="00D15A0A" w:rsidP="00D15A0A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ab/>
        <w:t xml:space="preserve">    Rebecca Wang, MD, Medical Co-Director of the Comprehensive Antimicrobial Program</w:t>
      </w:r>
    </w:p>
    <w:p w14:paraId="413AA1B1" w14:textId="77777777" w:rsidR="00D15A0A" w:rsidRPr="00316FAE" w:rsidRDefault="00D15A0A" w:rsidP="00D15A0A">
      <w:pPr>
        <w:rPr>
          <w:rFonts w:ascii="Calibri" w:eastAsia="Calibri" w:hAnsi="Calibri"/>
        </w:rPr>
      </w:pPr>
      <w:r w:rsidRPr="00451A8B">
        <w:rPr>
          <w:rFonts w:ascii="Calibri" w:eastAsia="Calibri" w:hAnsi="Calibri"/>
          <w:b/>
        </w:rPr>
        <w:t>Subject:</w:t>
      </w:r>
      <w:r w:rsidRPr="00316FAE">
        <w:rPr>
          <w:rFonts w:ascii="Calibri" w:eastAsia="Calibri" w:hAnsi="Calibri"/>
        </w:rPr>
        <w:t xml:space="preserve">  </w:t>
      </w:r>
      <w:r>
        <w:rPr>
          <w:rFonts w:ascii="Calibri" w:eastAsia="Calibri" w:hAnsi="Calibri"/>
        </w:rPr>
        <w:t>Expanded Version of Rapid Sepsis Assay and Stewardship Opportunity</w:t>
      </w:r>
    </w:p>
    <w:p w14:paraId="0159CB50" w14:textId="77777777" w:rsidR="00D15A0A" w:rsidRDefault="00D15A0A" w:rsidP="00D15A0A">
      <w:pPr>
        <w:rPr>
          <w:rFonts w:ascii="Calibri" w:eastAsia="Calibri" w:hAnsi="Calibri"/>
        </w:rPr>
      </w:pPr>
    </w:p>
    <w:p w14:paraId="6CD95E87" w14:textId="77777777" w:rsidR="00D15A0A" w:rsidRDefault="00D15A0A" w:rsidP="00D15A0A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Effective immediately, the Clinical Microbiology Laboratory will be using a new version of the multiplex PCR assay (BCID2) used to provide rapid identification of the most common causes of sepsis when a blood culture bottle flags positive.  </w:t>
      </w:r>
    </w:p>
    <w:p w14:paraId="6A0C5029" w14:textId="77777777" w:rsidR="00D15A0A" w:rsidRDefault="00D15A0A" w:rsidP="00D15A0A">
      <w:pPr>
        <w:rPr>
          <w:rFonts w:ascii="Calibri" w:eastAsia="Calibri" w:hAnsi="Calibri"/>
        </w:rPr>
      </w:pPr>
    </w:p>
    <w:p w14:paraId="756C28A8" w14:textId="77777777" w:rsidR="00D15A0A" w:rsidRDefault="00D15A0A" w:rsidP="00D15A0A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The new version of this assay offers an expanded range of bacterial and fungal targets, including staphylococci, streptococci, enterococci, </w:t>
      </w:r>
      <w:r w:rsidRPr="003159D2">
        <w:rPr>
          <w:rFonts w:ascii="Calibri" w:eastAsia="Calibri" w:hAnsi="Calibri"/>
          <w:i/>
        </w:rPr>
        <w:t>Listeria</w:t>
      </w:r>
      <w:r>
        <w:rPr>
          <w:rFonts w:ascii="Calibri" w:eastAsia="Calibri" w:hAnsi="Calibri"/>
        </w:rPr>
        <w:t xml:space="preserve">, </w:t>
      </w:r>
      <w:proofErr w:type="spellStart"/>
      <w:r w:rsidRPr="003159D2">
        <w:rPr>
          <w:rFonts w:ascii="Calibri" w:eastAsia="Calibri" w:hAnsi="Calibri"/>
          <w:i/>
        </w:rPr>
        <w:t>Haemophilus</w:t>
      </w:r>
      <w:proofErr w:type="spellEnd"/>
      <w:r>
        <w:rPr>
          <w:rFonts w:ascii="Calibri" w:eastAsia="Calibri" w:hAnsi="Calibri"/>
        </w:rPr>
        <w:t xml:space="preserve">, </w:t>
      </w:r>
      <w:proofErr w:type="spellStart"/>
      <w:r>
        <w:rPr>
          <w:rFonts w:ascii="Calibri" w:eastAsia="Calibri" w:hAnsi="Calibri"/>
        </w:rPr>
        <w:t>meningococcus</w:t>
      </w:r>
      <w:proofErr w:type="spellEnd"/>
      <w:r>
        <w:rPr>
          <w:rFonts w:ascii="Calibri" w:eastAsia="Calibri" w:hAnsi="Calibri"/>
        </w:rPr>
        <w:t xml:space="preserve">, common enteric Gram-negative rods, </w:t>
      </w:r>
      <w:proofErr w:type="spellStart"/>
      <w:r w:rsidRPr="003159D2">
        <w:rPr>
          <w:rFonts w:ascii="Calibri" w:eastAsia="Calibri" w:hAnsi="Calibri"/>
          <w:i/>
        </w:rPr>
        <w:t>Bacteroides</w:t>
      </w:r>
      <w:proofErr w:type="spellEnd"/>
      <w:r w:rsidRPr="003159D2">
        <w:rPr>
          <w:rFonts w:ascii="Calibri" w:eastAsia="Calibri" w:hAnsi="Calibri"/>
          <w:i/>
        </w:rPr>
        <w:t xml:space="preserve"> </w:t>
      </w:r>
      <w:proofErr w:type="spellStart"/>
      <w:r w:rsidRPr="003159D2">
        <w:rPr>
          <w:rFonts w:ascii="Calibri" w:eastAsia="Calibri" w:hAnsi="Calibri"/>
          <w:i/>
        </w:rPr>
        <w:t>fragilis</w:t>
      </w:r>
      <w:proofErr w:type="spellEnd"/>
      <w:r>
        <w:rPr>
          <w:rFonts w:ascii="Calibri" w:eastAsia="Calibri" w:hAnsi="Calibri"/>
        </w:rPr>
        <w:t xml:space="preserve">, </w:t>
      </w:r>
      <w:r w:rsidRPr="003159D2">
        <w:rPr>
          <w:rFonts w:ascii="Calibri" w:eastAsia="Calibri" w:hAnsi="Calibri"/>
          <w:i/>
        </w:rPr>
        <w:t>Pseudomonas</w:t>
      </w:r>
      <w:r>
        <w:rPr>
          <w:rFonts w:ascii="Calibri" w:eastAsia="Calibri" w:hAnsi="Calibri"/>
        </w:rPr>
        <w:t xml:space="preserve">, </w:t>
      </w:r>
      <w:proofErr w:type="spellStart"/>
      <w:r w:rsidRPr="003159D2">
        <w:rPr>
          <w:rFonts w:ascii="Calibri" w:eastAsia="Calibri" w:hAnsi="Calibri"/>
          <w:i/>
        </w:rPr>
        <w:t>Stenotrophomonas</w:t>
      </w:r>
      <w:proofErr w:type="spellEnd"/>
      <w:r>
        <w:rPr>
          <w:rFonts w:ascii="Calibri" w:eastAsia="Calibri" w:hAnsi="Calibri"/>
        </w:rPr>
        <w:t xml:space="preserve">, </w:t>
      </w:r>
      <w:r w:rsidRPr="003159D2">
        <w:rPr>
          <w:rFonts w:ascii="Calibri" w:eastAsia="Calibri" w:hAnsi="Calibri"/>
          <w:i/>
        </w:rPr>
        <w:t>Cryptococcus</w:t>
      </w:r>
      <w:r>
        <w:rPr>
          <w:rFonts w:ascii="Calibri" w:eastAsia="Calibri" w:hAnsi="Calibri"/>
        </w:rPr>
        <w:t xml:space="preserve">, and five species of </w:t>
      </w:r>
      <w:r w:rsidRPr="003159D2">
        <w:rPr>
          <w:rFonts w:ascii="Calibri" w:eastAsia="Calibri" w:hAnsi="Calibri"/>
          <w:i/>
        </w:rPr>
        <w:t>Candida</w:t>
      </w:r>
      <w:r>
        <w:rPr>
          <w:rFonts w:ascii="Calibri" w:eastAsia="Calibri" w:hAnsi="Calibri"/>
        </w:rPr>
        <w:t xml:space="preserve">. In addition, key genes are detected that predict antimicrobial resistance in certain organisms (methicillin resistance in </w:t>
      </w:r>
      <w:r w:rsidRPr="00FA076E">
        <w:rPr>
          <w:rFonts w:ascii="Calibri" w:eastAsia="Calibri" w:hAnsi="Calibri"/>
          <w:i/>
        </w:rPr>
        <w:t>S. aureus</w:t>
      </w:r>
      <w:r>
        <w:rPr>
          <w:rFonts w:ascii="Calibri" w:eastAsia="Calibri" w:hAnsi="Calibri"/>
        </w:rPr>
        <w:t xml:space="preserve">, vancomycin resistance in </w:t>
      </w:r>
      <w:r w:rsidRPr="00FA076E">
        <w:rPr>
          <w:rFonts w:ascii="Calibri" w:eastAsia="Calibri" w:hAnsi="Calibri"/>
          <w:i/>
        </w:rPr>
        <w:t xml:space="preserve">Enterococcus </w:t>
      </w:r>
      <w:r>
        <w:rPr>
          <w:rFonts w:ascii="Calibri" w:eastAsia="Calibri" w:hAnsi="Calibri"/>
        </w:rPr>
        <w:t xml:space="preserve">spp., extended-spectrum beta-lactamase production and </w:t>
      </w:r>
      <w:proofErr w:type="spellStart"/>
      <w:r>
        <w:rPr>
          <w:rFonts w:ascii="Calibri" w:eastAsia="Calibri" w:hAnsi="Calibri"/>
        </w:rPr>
        <w:t>carbapenemase</w:t>
      </w:r>
      <w:proofErr w:type="spellEnd"/>
      <w:r>
        <w:rPr>
          <w:rFonts w:ascii="Calibri" w:eastAsia="Calibri" w:hAnsi="Calibri"/>
        </w:rPr>
        <w:t xml:space="preserve"> production in Gram-negative rods).</w:t>
      </w:r>
    </w:p>
    <w:p w14:paraId="5160A739" w14:textId="77777777" w:rsidR="00D15A0A" w:rsidRDefault="00D15A0A" w:rsidP="00D15A0A">
      <w:pPr>
        <w:rPr>
          <w:rFonts w:ascii="Calibri" w:eastAsia="Calibri" w:hAnsi="Calibri"/>
        </w:rPr>
      </w:pPr>
    </w:p>
    <w:p w14:paraId="03FC08A8" w14:textId="77777777" w:rsidR="00D15A0A" w:rsidRDefault="00D15A0A" w:rsidP="00D15A0A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>These rapid results provide an opportunity to escalate or de-escalate antimicrobial therapy, optimizing both patient care and antimicrobial stewardship.</w:t>
      </w:r>
    </w:p>
    <w:p w14:paraId="76E4CB6D" w14:textId="77777777" w:rsidR="00D15A0A" w:rsidRDefault="00D15A0A" w:rsidP="00D15A0A">
      <w:pPr>
        <w:rPr>
          <w:rFonts w:ascii="Calibri" w:eastAsia="Calibri" w:hAnsi="Calibri"/>
        </w:rPr>
      </w:pPr>
    </w:p>
    <w:p w14:paraId="425D0FDB" w14:textId="52E29DD5" w:rsidR="00D15A0A" w:rsidRDefault="00D15A0A" w:rsidP="00D15A0A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>A new guidance document</w:t>
      </w:r>
      <w:r w:rsidR="00862E90">
        <w:rPr>
          <w:rFonts w:ascii="Calibri" w:eastAsia="Calibri" w:hAnsi="Calibri"/>
        </w:rPr>
        <w:t xml:space="preserve"> is currently available </w:t>
      </w:r>
      <w:hyperlink r:id="rId6" w:history="1">
        <w:r w:rsidR="00862E90" w:rsidRPr="00862E90">
          <w:rPr>
            <w:rStyle w:val="Hyperlink"/>
            <w:rFonts w:ascii="Calibri" w:eastAsia="Calibri" w:hAnsi="Calibri"/>
          </w:rPr>
          <w:t>here</w:t>
        </w:r>
      </w:hyperlink>
      <w:r w:rsidR="00862E90">
        <w:rPr>
          <w:rFonts w:ascii="Calibri" w:eastAsia="Calibri" w:hAnsi="Calibri"/>
        </w:rPr>
        <w:t xml:space="preserve"> on the I</w:t>
      </w:r>
      <w:r>
        <w:rPr>
          <w:rFonts w:ascii="Calibri" w:eastAsia="Calibri" w:hAnsi="Calibri"/>
        </w:rPr>
        <w:t>ntranet and will soon be in EPIC (under Web Links/Clinical References/Antibiotic Resource Links) to aid in selection of appropriate empiric antimicrobial therapy based on the results of the rapid sepsis assay</w:t>
      </w:r>
      <w:r w:rsidR="00862E90">
        <w:rPr>
          <w:rFonts w:ascii="Calibri" w:eastAsia="Calibri" w:hAnsi="Calibri"/>
        </w:rPr>
        <w:t>.</w:t>
      </w:r>
    </w:p>
    <w:p w14:paraId="073616C2" w14:textId="77777777" w:rsidR="00D15A0A" w:rsidRDefault="00D15A0A" w:rsidP="00D15A0A">
      <w:pPr>
        <w:rPr>
          <w:rFonts w:ascii="Calibri" w:eastAsia="Calibri" w:hAnsi="Calibri"/>
        </w:rPr>
      </w:pPr>
    </w:p>
    <w:p w14:paraId="4113CDEB" w14:textId="77777777" w:rsidR="00D15A0A" w:rsidRDefault="00D15A0A" w:rsidP="00D15A0A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This guidance document should be used in conjunction with clinical judgement.  </w:t>
      </w:r>
      <w:r w:rsidRPr="003159D2">
        <w:rPr>
          <w:rFonts w:ascii="Calibri" w:eastAsia="Calibri" w:hAnsi="Calibri"/>
        </w:rPr>
        <w:t>Individual patient characteristics, including prior culture data, length of stay, and severity of illness should be considered when making empiric antimicrobial prescribing decisions</w:t>
      </w:r>
      <w:r>
        <w:rPr>
          <w:rFonts w:ascii="Calibri" w:eastAsia="Calibri" w:hAnsi="Calibri"/>
        </w:rPr>
        <w:t xml:space="preserve"> for bloodstream infections</w:t>
      </w:r>
      <w:r w:rsidRPr="003159D2">
        <w:rPr>
          <w:rFonts w:ascii="Calibri" w:eastAsia="Calibri" w:hAnsi="Calibri"/>
        </w:rPr>
        <w:t>.</w:t>
      </w:r>
    </w:p>
    <w:p w14:paraId="2FCF881D" w14:textId="77777777" w:rsidR="00D15A0A" w:rsidRPr="00316FAE" w:rsidRDefault="00D15A0A" w:rsidP="00D15A0A">
      <w:pPr>
        <w:rPr>
          <w:rFonts w:ascii="Calibri" w:eastAsia="Calibri" w:hAnsi="Calibri"/>
        </w:rPr>
      </w:pPr>
    </w:p>
    <w:p w14:paraId="47A58EE9" w14:textId="696C80D9" w:rsidR="00D15A0A" w:rsidRDefault="00D15A0A" w:rsidP="00D15A0A">
      <w:pPr>
        <w:ind w:right="900"/>
        <w:rPr>
          <w:b/>
        </w:rPr>
      </w:pPr>
      <w:r w:rsidRPr="00D85985">
        <w:rPr>
          <w:b/>
        </w:rPr>
        <w:t>For questions or additional information, please contact:</w:t>
      </w:r>
      <w:r>
        <w:rPr>
          <w:b/>
        </w:rPr>
        <w:t xml:space="preserve"> </w:t>
      </w:r>
      <w:hyperlink r:id="rId7" w:history="1">
        <w:r w:rsidR="007C05F3" w:rsidRPr="00692986">
          <w:rPr>
            <w:rStyle w:val="Hyperlink"/>
            <w:b/>
          </w:rPr>
          <w:t>Isabella.W.Martin@hitchcock.org</w:t>
        </w:r>
      </w:hyperlink>
      <w:r>
        <w:rPr>
          <w:b/>
        </w:rPr>
        <w:t xml:space="preserve"> or </w:t>
      </w:r>
      <w:hyperlink r:id="rId8" w:history="1">
        <w:r w:rsidRPr="002827DD">
          <w:rPr>
            <w:rStyle w:val="Hyperlink"/>
            <w:b/>
          </w:rPr>
          <w:t>Rebecca.Wang@hitchcock.org</w:t>
        </w:r>
      </w:hyperlink>
      <w:r>
        <w:rPr>
          <w:b/>
        </w:rPr>
        <w:t>.</w:t>
      </w: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BAEFE96" w14:textId="0C176E41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3A1BAB">
      <w:pPr>
        <w:ind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  <w:bookmarkStart w:id="0" w:name="_GoBack"/>
      <w:bookmarkEnd w:id="0"/>
    </w:p>
    <w:sectPr w:rsidR="00991DEB" w:rsidSect="004530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88C53" w14:textId="77777777" w:rsidR="00907B9E" w:rsidRDefault="00907B9E">
      <w:r>
        <w:separator/>
      </w:r>
    </w:p>
  </w:endnote>
  <w:endnote w:type="continuationSeparator" w:id="0">
    <w:p w14:paraId="7B1ABEC4" w14:textId="77777777" w:rsidR="00907B9E" w:rsidRDefault="0090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DC24574B-5071-4546-BFE7-D9861FFD6E2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56B0FA9-C6B0-4C2E-A0FD-52767A8A5DA5}"/>
    <w:embedBold r:id="rId3" w:fontKey="{4CB4F5AA-7D91-4D9B-928F-591CB577A92B}"/>
    <w:embedItalic r:id="rId4" w:fontKey="{FFFACAB9-4CF8-4FD8-BDBB-88FA72EB0DD3}"/>
  </w:font>
  <w:font w:name="Futura Std Light">
    <w:altName w:val="Leelawadee UI Semilight"/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402F6" w14:textId="77777777" w:rsidR="00907B9E" w:rsidRDefault="00907B9E">
      <w:r>
        <w:separator/>
      </w:r>
    </w:p>
  </w:footnote>
  <w:footnote w:type="continuationSeparator" w:id="0">
    <w:p w14:paraId="46F98112" w14:textId="77777777" w:rsidR="00907B9E" w:rsidRDefault="0090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64A65"/>
    <w:rsid w:val="002A3B3F"/>
    <w:rsid w:val="002E4271"/>
    <w:rsid w:val="00316FAE"/>
    <w:rsid w:val="00330888"/>
    <w:rsid w:val="003A1BAB"/>
    <w:rsid w:val="003B1782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A1FFE"/>
    <w:rsid w:val="005A604E"/>
    <w:rsid w:val="005C5C49"/>
    <w:rsid w:val="00616F93"/>
    <w:rsid w:val="006468FD"/>
    <w:rsid w:val="00673F32"/>
    <w:rsid w:val="00683AF9"/>
    <w:rsid w:val="006861DB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7C05F3"/>
    <w:rsid w:val="0082572E"/>
    <w:rsid w:val="00862E90"/>
    <w:rsid w:val="0088413E"/>
    <w:rsid w:val="008A45D5"/>
    <w:rsid w:val="008E1882"/>
    <w:rsid w:val="008F546F"/>
    <w:rsid w:val="00903430"/>
    <w:rsid w:val="00907B9E"/>
    <w:rsid w:val="00921C70"/>
    <w:rsid w:val="00946EF2"/>
    <w:rsid w:val="009514BF"/>
    <w:rsid w:val="00973002"/>
    <w:rsid w:val="00973E8C"/>
    <w:rsid w:val="00991DEB"/>
    <w:rsid w:val="009A2EF4"/>
    <w:rsid w:val="009C2734"/>
    <w:rsid w:val="009E4EB2"/>
    <w:rsid w:val="00A061F5"/>
    <w:rsid w:val="00A21B12"/>
    <w:rsid w:val="00A241C5"/>
    <w:rsid w:val="00A462CF"/>
    <w:rsid w:val="00A54067"/>
    <w:rsid w:val="00A71416"/>
    <w:rsid w:val="00A75F6C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406BB"/>
    <w:rsid w:val="00B45681"/>
    <w:rsid w:val="00B56BE5"/>
    <w:rsid w:val="00B622D0"/>
    <w:rsid w:val="00B7412B"/>
    <w:rsid w:val="00C14CF3"/>
    <w:rsid w:val="00C80E87"/>
    <w:rsid w:val="00C83214"/>
    <w:rsid w:val="00CA3D80"/>
    <w:rsid w:val="00CA5218"/>
    <w:rsid w:val="00CB2A4B"/>
    <w:rsid w:val="00CD7CA1"/>
    <w:rsid w:val="00D15A0A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Wang@hitchcock.or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sabella.W.Martin@hitchcock.or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ms-intranet.hitchcock.org/intranet/docs/default-source/comprehensive-antimicrobial-program-documents/bcid2-therapy-guidance-documen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2022-05-27T16:02:00Z</dcterms:created>
  <dcterms:modified xsi:type="dcterms:W3CDTF">2022-05-27T16:02:00Z</dcterms:modified>
</cp:coreProperties>
</file>