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13" w:rsidRDefault="009845D4">
      <w:bookmarkStart w:id="0" w:name="_GoBack"/>
      <w:bookmarkEnd w:id="0"/>
      <w:r>
        <w:t xml:space="preserve">Date: </w:t>
      </w:r>
      <w:r>
        <w:tab/>
        <w:t>10/24/2022</w:t>
      </w:r>
    </w:p>
    <w:p w:rsidR="009845D4" w:rsidRDefault="009845D4" w:rsidP="009845D4">
      <w:pPr>
        <w:spacing w:after="0"/>
      </w:pPr>
    </w:p>
    <w:p w:rsidR="009845D4" w:rsidRDefault="009845D4" w:rsidP="009845D4">
      <w:pPr>
        <w:spacing w:after="0"/>
      </w:pPr>
      <w:r>
        <w:t>From:</w:t>
      </w:r>
      <w:r>
        <w:tab/>
        <w:t>Mark A. Cervinski, PhD</w:t>
      </w:r>
    </w:p>
    <w:p w:rsidR="009845D4" w:rsidRDefault="009845D4" w:rsidP="009845D4">
      <w:pPr>
        <w:spacing w:after="0"/>
      </w:pPr>
      <w:r>
        <w:tab/>
        <w:t xml:space="preserve">Director of Clinical Chemistry </w:t>
      </w:r>
    </w:p>
    <w:p w:rsidR="009845D4" w:rsidRDefault="009845D4" w:rsidP="009845D4">
      <w:pPr>
        <w:spacing w:after="0"/>
      </w:pPr>
    </w:p>
    <w:p w:rsidR="009845D4" w:rsidRDefault="009845D4" w:rsidP="009845D4">
      <w:pPr>
        <w:spacing w:after="0"/>
      </w:pPr>
      <w:r>
        <w:t>RE: Anti-Nuclear Antibody Testing, Change in Methodology and Screening Algorithm</w:t>
      </w:r>
    </w:p>
    <w:p w:rsidR="009845D4" w:rsidRDefault="009845D4" w:rsidP="009845D4">
      <w:pPr>
        <w:spacing w:after="0"/>
      </w:pPr>
    </w:p>
    <w:p w:rsidR="009845D4" w:rsidRDefault="009845D4" w:rsidP="009845D4">
      <w:pPr>
        <w:spacing w:after="0"/>
      </w:pPr>
      <w:r>
        <w:t xml:space="preserve">Please be advised that on Tuesday, </w:t>
      </w:r>
      <w:r w:rsidR="004B7882">
        <w:t>25</w:t>
      </w:r>
      <w:r>
        <w:t xml:space="preserve"> October 2022, there will be a change in the testing methodology and reference intervals for </w:t>
      </w:r>
      <w:r w:rsidR="004B7882">
        <w:t xml:space="preserve">antinuclear </w:t>
      </w:r>
      <w:r>
        <w:t>antibod</w:t>
      </w:r>
      <w:r w:rsidR="008966C2">
        <w:t>y</w:t>
      </w:r>
      <w:r>
        <w:t xml:space="preserve"> (ANA) and double-stranded </w:t>
      </w:r>
      <w:r w:rsidR="008966C2">
        <w:t xml:space="preserve">DNA antibody </w:t>
      </w:r>
      <w:r>
        <w:t xml:space="preserve">(dsDNA) </w:t>
      </w:r>
      <w:r w:rsidR="008966C2">
        <w:t xml:space="preserve">tests </w:t>
      </w:r>
      <w:r>
        <w:t xml:space="preserve">at DHMC. </w:t>
      </w:r>
    </w:p>
    <w:p w:rsidR="009845D4" w:rsidRDefault="009845D4" w:rsidP="009845D4">
      <w:pPr>
        <w:spacing w:after="0"/>
      </w:pPr>
    </w:p>
    <w:p w:rsidR="009845D4" w:rsidRDefault="009845D4" w:rsidP="009845D4">
      <w:pPr>
        <w:spacing w:after="0"/>
      </w:pPr>
      <w:r>
        <w:t xml:space="preserve">This change in methodology is </w:t>
      </w:r>
      <w:r w:rsidR="008966C2">
        <w:t xml:space="preserve">associated with </w:t>
      </w:r>
      <w:r>
        <w:t>the reinternalization of these tests that were temporarily sent to Mayo Medical Laboratories</w:t>
      </w:r>
      <w:r w:rsidR="008966C2">
        <w:t>. These tests</w:t>
      </w:r>
      <w:r>
        <w:t xml:space="preserve"> will now be performed in the Special Chemistry Laboratory at Dartmouth-Hitchcock Medical Center. </w:t>
      </w:r>
    </w:p>
    <w:p w:rsidR="006774BE" w:rsidRDefault="006774BE" w:rsidP="009845D4">
      <w:pPr>
        <w:spacing w:after="0"/>
      </w:pPr>
    </w:p>
    <w:p w:rsidR="006774BE" w:rsidRDefault="006774BE" w:rsidP="009845D4">
      <w:pPr>
        <w:spacing w:after="0"/>
      </w:pPr>
      <w:r>
        <w:t xml:space="preserve">The new ANA profile begins with a qualitative ANA screen and quantitative dsDNA assessment by two separate automated fluoroenzymatic immunoassays. A positive result on the ANA screen portion of the profile will generate an automatic reflex to </w:t>
      </w:r>
      <w:r w:rsidR="002740DF">
        <w:t xml:space="preserve">an Extractable Nuclear Antigen </w:t>
      </w:r>
      <w:r w:rsidR="004B7882">
        <w:t xml:space="preserve">(ENA) </w:t>
      </w:r>
      <w:r w:rsidR="002740DF">
        <w:t xml:space="preserve">profile to </w:t>
      </w:r>
      <w:r>
        <w:t xml:space="preserve">differentiate which of the seven autoantibody targets elicited the positive </w:t>
      </w:r>
      <w:r w:rsidR="002740DF">
        <w:t xml:space="preserve">ANA screen </w:t>
      </w:r>
      <w:r>
        <w:t xml:space="preserve">result. </w:t>
      </w:r>
      <w:r w:rsidR="002740DF">
        <w:t>Please see the a</w:t>
      </w:r>
      <w:r w:rsidR="008966C2">
        <w:t xml:space="preserve">lgorithm on page three for clarification. </w:t>
      </w:r>
    </w:p>
    <w:p w:rsidR="006774BE" w:rsidRDefault="006774BE" w:rsidP="009845D4">
      <w:pPr>
        <w:spacing w:after="0"/>
      </w:pPr>
    </w:p>
    <w:p w:rsidR="008966C2" w:rsidRDefault="009845D4" w:rsidP="009845D4">
      <w:pPr>
        <w:spacing w:after="0"/>
      </w:pPr>
      <w:r>
        <w:t>In association with this change, there will be a change in the methods and reference intervals for the ENA profile. These seven individual assays are detailed in the table</w:t>
      </w:r>
      <w:r w:rsidR="008966C2">
        <w:t xml:space="preserve"> on the following page</w:t>
      </w:r>
      <w:r>
        <w:t xml:space="preserve">.  </w:t>
      </w:r>
    </w:p>
    <w:p w:rsidR="008966C2" w:rsidRDefault="008966C2" w:rsidP="009845D4">
      <w:pPr>
        <w:spacing w:after="0"/>
      </w:pPr>
    </w:p>
    <w:p w:rsidR="009845D4" w:rsidRDefault="0068711B" w:rsidP="009845D4">
      <w:pPr>
        <w:spacing w:after="0"/>
      </w:pPr>
      <w:r>
        <w:t xml:space="preserve">In addition, both the dsDNA antibody and the individual components of the </w:t>
      </w:r>
      <w:r w:rsidR="008966C2">
        <w:t>ENA profile</w:t>
      </w:r>
      <w:r>
        <w:t xml:space="preserve"> are</w:t>
      </w:r>
      <w:r w:rsidR="008966C2">
        <w:t xml:space="preserve"> also available as </w:t>
      </w:r>
      <w:r>
        <w:t xml:space="preserve">individually </w:t>
      </w:r>
      <w:r w:rsidR="008966C2">
        <w:t>orderable tests.</w:t>
      </w:r>
    </w:p>
    <w:p w:rsidR="008966C2" w:rsidRDefault="008966C2" w:rsidP="009845D4">
      <w:pPr>
        <w:spacing w:after="0"/>
      </w:pPr>
    </w:p>
    <w:p w:rsidR="008966C2" w:rsidRDefault="008966C2" w:rsidP="009845D4">
      <w:pPr>
        <w:spacing w:after="0"/>
      </w:pPr>
      <w:r>
        <w:t xml:space="preserve">For questions concerning this notice please contact Dr. Cervinski at </w:t>
      </w:r>
      <w:hyperlink r:id="rId4" w:history="1">
        <w:r w:rsidRPr="00306604">
          <w:rPr>
            <w:rStyle w:val="Hyperlink"/>
          </w:rPr>
          <w:t>mark.a.cervinski@hitchcock.org</w:t>
        </w:r>
      </w:hyperlink>
      <w:r>
        <w:t xml:space="preserve"> </w:t>
      </w:r>
    </w:p>
    <w:p w:rsidR="008966C2" w:rsidRDefault="008966C2">
      <w:r>
        <w:br w:type="page"/>
      </w:r>
    </w:p>
    <w:p w:rsidR="002740DF" w:rsidRDefault="002740DF" w:rsidP="009845D4">
      <w:pPr>
        <w:spacing w:after="0"/>
      </w:pPr>
    </w:p>
    <w:tbl>
      <w:tblPr>
        <w:tblStyle w:val="ListTable4-Accent6"/>
        <w:tblW w:w="0" w:type="auto"/>
        <w:tblLook w:val="04A0" w:firstRow="1" w:lastRow="0" w:firstColumn="1" w:lastColumn="0" w:noHBand="0" w:noVBand="1"/>
      </w:tblPr>
      <w:tblGrid>
        <w:gridCol w:w="3255"/>
        <w:gridCol w:w="3274"/>
        <w:gridCol w:w="2821"/>
      </w:tblGrid>
      <w:tr w:rsidR="002740DF" w:rsidTr="002740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149A9D"/>
          </w:tcPr>
          <w:p w:rsidR="002740DF" w:rsidRDefault="002740DF" w:rsidP="009845D4">
            <w:r>
              <w:t xml:space="preserve">Test Description </w:t>
            </w:r>
          </w:p>
        </w:tc>
        <w:tc>
          <w:tcPr>
            <w:tcW w:w="3274" w:type="dxa"/>
            <w:shd w:val="clear" w:color="auto" w:fill="149A9D"/>
          </w:tcPr>
          <w:p w:rsidR="002740DF" w:rsidRDefault="002740DF" w:rsidP="009845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New Interpretive Criteria</w:t>
            </w:r>
          </w:p>
        </w:tc>
        <w:tc>
          <w:tcPr>
            <w:tcW w:w="2821" w:type="dxa"/>
            <w:shd w:val="clear" w:color="auto" w:fill="149A9D"/>
          </w:tcPr>
          <w:p w:rsidR="002740DF" w:rsidRDefault="002740DF" w:rsidP="009845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Old Interpretive Criteria</w:t>
            </w:r>
          </w:p>
        </w:tc>
      </w:tr>
      <w:tr w:rsidR="000F1DD6" w:rsidTr="000F1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B1DDD2"/>
          </w:tcPr>
          <w:p w:rsidR="000F1DD6" w:rsidRDefault="000F1DD6" w:rsidP="009845D4">
            <w:r>
              <w:t>ANA Screen</w:t>
            </w:r>
          </w:p>
        </w:tc>
        <w:tc>
          <w:tcPr>
            <w:tcW w:w="3274" w:type="dxa"/>
            <w:shd w:val="clear" w:color="auto" w:fill="B1DDD2"/>
          </w:tcPr>
          <w:p w:rsidR="000F1DD6" w:rsidRDefault="000F1DD6" w:rsidP="000F1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(Qualitative Results)</w:t>
            </w:r>
          </w:p>
          <w:p w:rsidR="000F1DD6" w:rsidRDefault="000F1DD6" w:rsidP="000F1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Negative</w:t>
            </w:r>
          </w:p>
          <w:p w:rsidR="000F1DD6" w:rsidRDefault="000F1DD6" w:rsidP="000F1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Equivocal</w:t>
            </w:r>
          </w:p>
          <w:p w:rsidR="000F1DD6" w:rsidRDefault="000F1DD6" w:rsidP="000F1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Positive</w:t>
            </w:r>
          </w:p>
        </w:tc>
        <w:tc>
          <w:tcPr>
            <w:tcW w:w="2821" w:type="dxa"/>
            <w:shd w:val="clear" w:color="auto" w:fill="B1DDD2"/>
          </w:tcPr>
          <w:p w:rsidR="000F1DD6" w:rsidRDefault="000F1DD6" w:rsidP="00984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Negative: Titer &lt; 1:80</w:t>
            </w:r>
          </w:p>
        </w:tc>
      </w:tr>
      <w:tr w:rsidR="002740DF" w:rsidTr="00274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</w:tcPr>
          <w:p w:rsidR="002740DF" w:rsidRDefault="002740DF" w:rsidP="009845D4">
            <w:r>
              <w:t>dsDNA</w:t>
            </w:r>
          </w:p>
        </w:tc>
        <w:tc>
          <w:tcPr>
            <w:tcW w:w="3274" w:type="dxa"/>
            <w:shd w:val="clear" w:color="auto" w:fill="FFFFFF" w:themeFill="background1"/>
          </w:tcPr>
          <w:p w:rsidR="002740DF" w:rsidRDefault="002740DF" w:rsidP="0098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Negative: &lt; 10 IU/mL</w:t>
            </w:r>
          </w:p>
          <w:p w:rsidR="002740DF" w:rsidRDefault="002740DF" w:rsidP="0098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Equivocal: 10 – 15 IU/mL</w:t>
            </w:r>
          </w:p>
          <w:p w:rsidR="002740DF" w:rsidRDefault="002740DF" w:rsidP="0098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Positive: &gt; 15 IU/mL</w:t>
            </w:r>
          </w:p>
        </w:tc>
        <w:tc>
          <w:tcPr>
            <w:tcW w:w="2821" w:type="dxa"/>
            <w:shd w:val="clear" w:color="auto" w:fill="FFFFFF" w:themeFill="background1"/>
          </w:tcPr>
          <w:p w:rsidR="002740DF" w:rsidRDefault="002740DF" w:rsidP="0098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Negative: &lt; 30 IU/mL</w:t>
            </w:r>
          </w:p>
          <w:p w:rsidR="002740DF" w:rsidRDefault="002740DF" w:rsidP="0098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Borderline: </w:t>
            </w:r>
            <w:r w:rsidR="000F1DD6">
              <w:t>30 – 75 IU/mL</w:t>
            </w:r>
          </w:p>
          <w:p w:rsidR="000F1DD6" w:rsidRDefault="000F1DD6" w:rsidP="0098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Positive: &gt; 75 IU/mL</w:t>
            </w:r>
          </w:p>
        </w:tc>
      </w:tr>
      <w:tr w:rsidR="000F1DD6" w:rsidTr="000F1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B1DDD2"/>
          </w:tcPr>
          <w:p w:rsidR="000F1DD6" w:rsidRDefault="000F1DD6" w:rsidP="009845D4"/>
        </w:tc>
        <w:tc>
          <w:tcPr>
            <w:tcW w:w="3274" w:type="dxa"/>
            <w:shd w:val="clear" w:color="auto" w:fill="B1DDD2"/>
          </w:tcPr>
          <w:p w:rsidR="000F1DD6" w:rsidRDefault="000F1DD6" w:rsidP="00984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21" w:type="dxa"/>
            <w:shd w:val="clear" w:color="auto" w:fill="B1DDD2"/>
          </w:tcPr>
          <w:p w:rsidR="000F1DD6" w:rsidRDefault="000F1DD6" w:rsidP="00984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1DD6" w:rsidTr="00A522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FFFFFF" w:themeFill="background1"/>
          </w:tcPr>
          <w:p w:rsidR="000F1DD6" w:rsidRDefault="000F1DD6" w:rsidP="009845D4">
            <w:r>
              <w:t xml:space="preserve">Individual ENA Profile Components </w:t>
            </w:r>
          </w:p>
        </w:tc>
      </w:tr>
      <w:tr w:rsidR="002740DF" w:rsidTr="00274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B1DDD2"/>
          </w:tcPr>
          <w:p w:rsidR="002740DF" w:rsidRDefault="002740DF" w:rsidP="002740DF">
            <w:r>
              <w:t xml:space="preserve">Centromere B </w:t>
            </w:r>
          </w:p>
        </w:tc>
        <w:tc>
          <w:tcPr>
            <w:tcW w:w="3274" w:type="dxa"/>
            <w:shd w:val="clear" w:color="auto" w:fill="B1DDD2"/>
          </w:tcPr>
          <w:p w:rsidR="002740DF" w:rsidRDefault="002740DF" w:rsidP="002740D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Negative: &lt; 7 U/mL</w:t>
            </w:r>
          </w:p>
          <w:p w:rsidR="002740DF" w:rsidRDefault="002740DF" w:rsidP="002740D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Equivocal: 7 – 10 U/mL</w:t>
            </w:r>
          </w:p>
          <w:p w:rsidR="002740DF" w:rsidRDefault="002740DF" w:rsidP="00274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Positive: &gt; 10 U/mL</w:t>
            </w:r>
          </w:p>
        </w:tc>
        <w:tc>
          <w:tcPr>
            <w:tcW w:w="2821" w:type="dxa"/>
            <w:shd w:val="clear" w:color="auto" w:fill="B1DDD2"/>
          </w:tcPr>
          <w:p w:rsidR="000F1DD6" w:rsidRDefault="000F1DD6" w:rsidP="000F1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Negative: &lt; 1.0 U</w:t>
            </w:r>
          </w:p>
          <w:p w:rsidR="002740DF" w:rsidRDefault="000F1DD6" w:rsidP="000F1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Positive: </w:t>
            </w:r>
            <w:r>
              <w:rPr>
                <w:rFonts w:cstheme="minorHAnsi"/>
              </w:rPr>
              <w:t>≥</w:t>
            </w:r>
            <w:r>
              <w:t xml:space="preserve"> 1.0 U</w:t>
            </w:r>
          </w:p>
        </w:tc>
      </w:tr>
      <w:tr w:rsidR="002740DF" w:rsidTr="00274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</w:tcPr>
          <w:p w:rsidR="002740DF" w:rsidRDefault="002740DF" w:rsidP="009845D4">
            <w:r>
              <w:t>Jo-1</w:t>
            </w:r>
          </w:p>
        </w:tc>
        <w:tc>
          <w:tcPr>
            <w:tcW w:w="3274" w:type="dxa"/>
            <w:shd w:val="clear" w:color="auto" w:fill="FFFFFF" w:themeFill="background1"/>
          </w:tcPr>
          <w:p w:rsidR="002740DF" w:rsidRDefault="002740DF" w:rsidP="002740D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Negative: &lt; 7 U/mL</w:t>
            </w:r>
          </w:p>
          <w:p w:rsidR="002740DF" w:rsidRDefault="002740DF" w:rsidP="002740D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Equivocal: 7 – 10 U/mL</w:t>
            </w:r>
          </w:p>
          <w:p w:rsidR="002740DF" w:rsidRDefault="002740DF" w:rsidP="00274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Positive: &gt; 10 U/mL</w:t>
            </w:r>
          </w:p>
        </w:tc>
        <w:tc>
          <w:tcPr>
            <w:tcW w:w="2821" w:type="dxa"/>
            <w:shd w:val="clear" w:color="auto" w:fill="FFFFFF" w:themeFill="background1"/>
          </w:tcPr>
          <w:p w:rsidR="002740DF" w:rsidRDefault="000F1DD6" w:rsidP="0098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Negative: &lt; 1.0 U</w:t>
            </w:r>
          </w:p>
          <w:p w:rsidR="000F1DD6" w:rsidRDefault="000F1DD6" w:rsidP="0098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Positive: </w:t>
            </w:r>
            <w:r>
              <w:rPr>
                <w:rFonts w:cstheme="minorHAnsi"/>
              </w:rPr>
              <w:t>≥</w:t>
            </w:r>
            <w:r>
              <w:t xml:space="preserve"> 1.0 U</w:t>
            </w:r>
          </w:p>
        </w:tc>
      </w:tr>
      <w:tr w:rsidR="002740DF" w:rsidTr="00274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B1DDD2"/>
          </w:tcPr>
          <w:p w:rsidR="002740DF" w:rsidRDefault="002740DF" w:rsidP="009845D4">
            <w:r>
              <w:t>SSA/Ro</w:t>
            </w:r>
          </w:p>
        </w:tc>
        <w:tc>
          <w:tcPr>
            <w:tcW w:w="3274" w:type="dxa"/>
            <w:shd w:val="clear" w:color="auto" w:fill="B1DDD2"/>
          </w:tcPr>
          <w:p w:rsidR="002740DF" w:rsidRDefault="002740DF" w:rsidP="002740D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Negative: &lt; 7 U/mL</w:t>
            </w:r>
          </w:p>
          <w:p w:rsidR="002740DF" w:rsidRDefault="002740DF" w:rsidP="002740D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Equivocal: 7 – 10 U/mL</w:t>
            </w:r>
          </w:p>
          <w:p w:rsidR="002740DF" w:rsidRDefault="002740DF" w:rsidP="00274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Positive: &gt; 10 U/mL</w:t>
            </w:r>
          </w:p>
        </w:tc>
        <w:tc>
          <w:tcPr>
            <w:tcW w:w="2821" w:type="dxa"/>
            <w:shd w:val="clear" w:color="auto" w:fill="B1DDD2"/>
          </w:tcPr>
          <w:p w:rsidR="000F1DD6" w:rsidRDefault="000F1DD6" w:rsidP="000F1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Negative: &lt; 1.0 U</w:t>
            </w:r>
          </w:p>
          <w:p w:rsidR="002740DF" w:rsidRDefault="000F1DD6" w:rsidP="000F1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Positive: </w:t>
            </w:r>
            <w:r>
              <w:rPr>
                <w:rFonts w:cstheme="minorHAnsi"/>
              </w:rPr>
              <w:t>≥</w:t>
            </w:r>
            <w:r>
              <w:t xml:space="preserve"> 1.0 U</w:t>
            </w:r>
          </w:p>
        </w:tc>
      </w:tr>
      <w:tr w:rsidR="002740DF" w:rsidTr="00274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</w:tcPr>
          <w:p w:rsidR="002740DF" w:rsidRDefault="002740DF" w:rsidP="009845D4">
            <w:r>
              <w:t>SSB/La</w:t>
            </w:r>
          </w:p>
        </w:tc>
        <w:tc>
          <w:tcPr>
            <w:tcW w:w="3274" w:type="dxa"/>
            <w:shd w:val="clear" w:color="auto" w:fill="FFFFFF" w:themeFill="background1"/>
          </w:tcPr>
          <w:p w:rsidR="002740DF" w:rsidRDefault="002740DF" w:rsidP="002740D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Negative: &lt; 7 U/mL</w:t>
            </w:r>
          </w:p>
          <w:p w:rsidR="002740DF" w:rsidRDefault="002740DF" w:rsidP="002740D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Equivocal: 7 – 10 U/mL</w:t>
            </w:r>
          </w:p>
          <w:p w:rsidR="002740DF" w:rsidRDefault="002740DF" w:rsidP="00274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Positive: &gt; 10 U/mL</w:t>
            </w:r>
          </w:p>
        </w:tc>
        <w:tc>
          <w:tcPr>
            <w:tcW w:w="2821" w:type="dxa"/>
            <w:shd w:val="clear" w:color="auto" w:fill="FFFFFF" w:themeFill="background1"/>
          </w:tcPr>
          <w:p w:rsidR="000F1DD6" w:rsidRDefault="000F1DD6" w:rsidP="000F1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Negative: &lt; 1.0 U</w:t>
            </w:r>
          </w:p>
          <w:p w:rsidR="002740DF" w:rsidRDefault="000F1DD6" w:rsidP="000F1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Positive: </w:t>
            </w:r>
            <w:r>
              <w:rPr>
                <w:rFonts w:cstheme="minorHAnsi"/>
              </w:rPr>
              <w:t>≥</w:t>
            </w:r>
            <w:r>
              <w:t xml:space="preserve"> 1.0 U</w:t>
            </w:r>
          </w:p>
        </w:tc>
      </w:tr>
      <w:tr w:rsidR="002740DF" w:rsidTr="00274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B1DDD2"/>
          </w:tcPr>
          <w:p w:rsidR="002740DF" w:rsidRDefault="002740DF" w:rsidP="009845D4">
            <w:r>
              <w:t>Scl-70</w:t>
            </w:r>
          </w:p>
        </w:tc>
        <w:tc>
          <w:tcPr>
            <w:tcW w:w="3274" w:type="dxa"/>
            <w:shd w:val="clear" w:color="auto" w:fill="B1DDD2"/>
          </w:tcPr>
          <w:p w:rsidR="002740DF" w:rsidRDefault="002740DF" w:rsidP="002740D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Negative: &lt; 7 U/mL</w:t>
            </w:r>
          </w:p>
          <w:p w:rsidR="002740DF" w:rsidRDefault="002740DF" w:rsidP="002740D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Equivocal: 7 – 10 U/mL</w:t>
            </w:r>
          </w:p>
          <w:p w:rsidR="002740DF" w:rsidRDefault="002740DF" w:rsidP="00274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Positive: &gt; 10 U/mL</w:t>
            </w:r>
          </w:p>
        </w:tc>
        <w:tc>
          <w:tcPr>
            <w:tcW w:w="2821" w:type="dxa"/>
            <w:shd w:val="clear" w:color="auto" w:fill="B1DDD2"/>
          </w:tcPr>
          <w:p w:rsidR="000F1DD6" w:rsidRDefault="000F1DD6" w:rsidP="000F1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Negative: &lt; 1.0 U</w:t>
            </w:r>
          </w:p>
          <w:p w:rsidR="002740DF" w:rsidRDefault="000F1DD6" w:rsidP="000F1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Positive: </w:t>
            </w:r>
            <w:r>
              <w:rPr>
                <w:rFonts w:cstheme="minorHAnsi"/>
              </w:rPr>
              <w:t>≥</w:t>
            </w:r>
            <w:r>
              <w:t xml:space="preserve"> 1.0 U</w:t>
            </w:r>
          </w:p>
        </w:tc>
      </w:tr>
      <w:tr w:rsidR="002740DF" w:rsidTr="00274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</w:tcPr>
          <w:p w:rsidR="002740DF" w:rsidRDefault="002740DF" w:rsidP="009845D4">
            <w:r>
              <w:t>Sm</w:t>
            </w:r>
          </w:p>
        </w:tc>
        <w:tc>
          <w:tcPr>
            <w:tcW w:w="3274" w:type="dxa"/>
            <w:shd w:val="clear" w:color="auto" w:fill="FFFFFF" w:themeFill="background1"/>
          </w:tcPr>
          <w:p w:rsidR="002740DF" w:rsidRDefault="002740DF" w:rsidP="002740D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Negative: &lt; 7 U/mL</w:t>
            </w:r>
          </w:p>
          <w:p w:rsidR="002740DF" w:rsidRDefault="002740DF" w:rsidP="002740D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Equivocal: 7 – 10 U/mL</w:t>
            </w:r>
          </w:p>
          <w:p w:rsidR="002740DF" w:rsidRDefault="002740DF" w:rsidP="00274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Positive: &gt; 10 U/mL</w:t>
            </w:r>
          </w:p>
        </w:tc>
        <w:tc>
          <w:tcPr>
            <w:tcW w:w="2821" w:type="dxa"/>
            <w:shd w:val="clear" w:color="auto" w:fill="FFFFFF" w:themeFill="background1"/>
          </w:tcPr>
          <w:p w:rsidR="000F1DD6" w:rsidRDefault="000F1DD6" w:rsidP="000F1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Negative: &lt; 1.0 U</w:t>
            </w:r>
          </w:p>
          <w:p w:rsidR="002740DF" w:rsidRDefault="000F1DD6" w:rsidP="000F1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Positive: </w:t>
            </w:r>
            <w:r>
              <w:rPr>
                <w:rFonts w:cstheme="minorHAnsi"/>
              </w:rPr>
              <w:t>≥</w:t>
            </w:r>
            <w:r>
              <w:t xml:space="preserve"> 1.0 U</w:t>
            </w:r>
          </w:p>
        </w:tc>
      </w:tr>
      <w:tr w:rsidR="002740DF" w:rsidTr="00274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B1DDD2"/>
          </w:tcPr>
          <w:p w:rsidR="002740DF" w:rsidRDefault="002740DF" w:rsidP="009845D4">
            <w:r>
              <w:t>U1RNP</w:t>
            </w:r>
          </w:p>
        </w:tc>
        <w:tc>
          <w:tcPr>
            <w:tcW w:w="3274" w:type="dxa"/>
            <w:shd w:val="clear" w:color="auto" w:fill="B1DDD2"/>
          </w:tcPr>
          <w:p w:rsidR="002740DF" w:rsidRDefault="00A73A9A" w:rsidP="002740D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Negative: &lt; 5</w:t>
            </w:r>
            <w:r w:rsidR="002740DF">
              <w:t xml:space="preserve"> U/mL</w:t>
            </w:r>
          </w:p>
          <w:p w:rsidR="002740DF" w:rsidRDefault="002740DF" w:rsidP="002740D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Equivocal: </w:t>
            </w:r>
            <w:r w:rsidR="00A73A9A">
              <w:t>5</w:t>
            </w:r>
            <w:r>
              <w:t xml:space="preserve"> – 10 U/mL</w:t>
            </w:r>
          </w:p>
          <w:p w:rsidR="002740DF" w:rsidRDefault="002740DF" w:rsidP="00274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Positive: &gt; 10 U/mL</w:t>
            </w:r>
          </w:p>
        </w:tc>
        <w:tc>
          <w:tcPr>
            <w:tcW w:w="2821" w:type="dxa"/>
            <w:shd w:val="clear" w:color="auto" w:fill="B1DDD2"/>
          </w:tcPr>
          <w:p w:rsidR="000F1DD6" w:rsidRDefault="000F1DD6" w:rsidP="000F1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Negative: &lt; 1.0 U</w:t>
            </w:r>
          </w:p>
          <w:p w:rsidR="002740DF" w:rsidRDefault="000F1DD6" w:rsidP="000F1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Positive: </w:t>
            </w:r>
            <w:r>
              <w:rPr>
                <w:rFonts w:cstheme="minorHAnsi"/>
              </w:rPr>
              <w:t>≥</w:t>
            </w:r>
            <w:r>
              <w:t xml:space="preserve"> 1.0 U</w:t>
            </w:r>
          </w:p>
        </w:tc>
      </w:tr>
    </w:tbl>
    <w:p w:rsidR="002740DF" w:rsidRDefault="002740DF" w:rsidP="009845D4">
      <w:pPr>
        <w:spacing w:after="0"/>
      </w:pPr>
    </w:p>
    <w:p w:rsidR="008966C2" w:rsidRDefault="008966C2" w:rsidP="009845D4">
      <w:pPr>
        <w:spacing w:after="0"/>
      </w:pPr>
    </w:p>
    <w:p w:rsidR="008966C2" w:rsidRDefault="004B7882" w:rsidP="009845D4">
      <w:pPr>
        <w:spacing w:after="0"/>
      </w:pPr>
      <w:r>
        <w:rPr>
          <w:noProof/>
        </w:rPr>
        <w:lastRenderedPageBreak/>
        <w:drawing>
          <wp:inline distT="0" distB="0" distL="0" distR="0">
            <wp:extent cx="5943600" cy="66084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A Flowchar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0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6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D4"/>
    <w:rsid w:val="000F1DD6"/>
    <w:rsid w:val="002740DF"/>
    <w:rsid w:val="003E194D"/>
    <w:rsid w:val="004B7882"/>
    <w:rsid w:val="006774BE"/>
    <w:rsid w:val="0068711B"/>
    <w:rsid w:val="006D3913"/>
    <w:rsid w:val="008966C2"/>
    <w:rsid w:val="009845D4"/>
    <w:rsid w:val="00A73A9A"/>
    <w:rsid w:val="00AE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46616-6431-409C-B9E8-ED5908F7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6">
    <w:name w:val="List Table 4 Accent 6"/>
    <w:basedOn w:val="TableNormal"/>
    <w:uiPriority w:val="49"/>
    <w:rsid w:val="002740D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66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mark.a.cervinski@hitchcoc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Dartmouth-Hitchcock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A. Cervinski</dc:creator>
  <cp:keywords/>
  <dc:description/>
  <cp:lastModifiedBy>Sylvie Seguin</cp:lastModifiedBy>
  <cp:revision>2</cp:revision>
  <dcterms:created xsi:type="dcterms:W3CDTF">2022-10-24T19:59:00Z</dcterms:created>
  <dcterms:modified xsi:type="dcterms:W3CDTF">2022-10-24T19:59:00Z</dcterms:modified>
</cp:coreProperties>
</file>