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9C667C" w14:textId="1DD4A850" w:rsidR="003A1BAB" w:rsidRDefault="003A1BAB" w:rsidP="00316FAE">
      <w:pPr>
        <w:rPr>
          <w:rFonts w:ascii="Calibri" w:eastAsia="Calibri" w:hAnsi="Calibri"/>
          <w:b/>
        </w:rPr>
      </w:pPr>
      <w:bookmarkStart w:id="0" w:name="_GoBack"/>
      <w:bookmarkEnd w:id="0"/>
    </w:p>
    <w:p w14:paraId="406C86C7" w14:textId="77777777" w:rsidR="00902A0A" w:rsidRDefault="00902A0A" w:rsidP="00316FAE">
      <w:pPr>
        <w:rPr>
          <w:rFonts w:eastAsia="Calibri"/>
          <w:b/>
        </w:rPr>
      </w:pPr>
    </w:p>
    <w:p w14:paraId="7F68630F" w14:textId="77777777" w:rsidR="00902A0A" w:rsidRDefault="00902A0A" w:rsidP="00316FAE">
      <w:pPr>
        <w:rPr>
          <w:rFonts w:eastAsia="Calibri"/>
          <w:b/>
        </w:rPr>
      </w:pPr>
    </w:p>
    <w:p w14:paraId="2B8F058D" w14:textId="77777777" w:rsidR="00902A0A" w:rsidRDefault="00902A0A" w:rsidP="00316FAE">
      <w:pPr>
        <w:rPr>
          <w:rFonts w:eastAsia="Calibri"/>
          <w:b/>
        </w:rPr>
      </w:pPr>
    </w:p>
    <w:p w14:paraId="68624AB3" w14:textId="62AD4077" w:rsidR="00442490" w:rsidRDefault="00442490" w:rsidP="00316FAE">
      <w:pPr>
        <w:rPr>
          <w:rFonts w:eastAsia="Calibri"/>
          <w:b/>
        </w:rPr>
      </w:pPr>
      <w:r w:rsidRPr="00D60396">
        <w:rPr>
          <w:rFonts w:eastAsia="Calibri"/>
          <w:b/>
        </w:rPr>
        <w:t xml:space="preserve">To: </w:t>
      </w:r>
      <w:r w:rsidR="00F821A3" w:rsidRPr="000325E1">
        <w:rPr>
          <w:rFonts w:eastAsia="Calibri"/>
        </w:rPr>
        <w:t>All Dartmouth Health Providers</w:t>
      </w:r>
    </w:p>
    <w:p w14:paraId="2844322E" w14:textId="77777777" w:rsidR="00673F32" w:rsidRPr="00D60396" w:rsidRDefault="00673F32" w:rsidP="00316FAE">
      <w:pPr>
        <w:rPr>
          <w:rFonts w:eastAsia="Calibri"/>
          <w:b/>
        </w:rPr>
      </w:pPr>
    </w:p>
    <w:p w14:paraId="75824EFC" w14:textId="77777777" w:rsidR="008B5782" w:rsidRPr="00F821A3" w:rsidRDefault="00442490" w:rsidP="008B5782">
      <w:r w:rsidRPr="00D60396">
        <w:rPr>
          <w:rFonts w:eastAsia="Calibri"/>
          <w:b/>
        </w:rPr>
        <w:t>From:</w:t>
      </w:r>
      <w:r w:rsidR="008B5782">
        <w:rPr>
          <w:rFonts w:eastAsia="Calibri"/>
          <w:b/>
        </w:rPr>
        <w:t xml:space="preserve"> </w:t>
      </w:r>
      <w:r w:rsidR="008B5782" w:rsidRPr="00F821A3">
        <w:t>Gregory J. Tsongalis, PhD, HCLD Director, CGAT</w:t>
      </w:r>
    </w:p>
    <w:p w14:paraId="70CEF59E" w14:textId="6B6F4A3D" w:rsidR="00957658" w:rsidRDefault="008B5782" w:rsidP="008B5782">
      <w:r w:rsidRPr="00F821A3">
        <w:t xml:space="preserve">          </w:t>
      </w:r>
      <w:r w:rsidRPr="00F821A3">
        <w:tab/>
      </w:r>
      <w:r w:rsidR="00957658" w:rsidRPr="00F821A3">
        <w:t xml:space="preserve">Eric Loo, MD, Assistant Director, CGAT </w:t>
      </w:r>
    </w:p>
    <w:p w14:paraId="277FF80E" w14:textId="7EED6B75" w:rsidR="000D32F8" w:rsidRDefault="000D32F8" w:rsidP="008B5782">
      <w:r>
        <w:tab/>
        <w:t>Jeremiah Karrs, MD, Assistant Director, CGAT</w:t>
      </w:r>
    </w:p>
    <w:p w14:paraId="1A520737" w14:textId="765C2529" w:rsidR="00957658" w:rsidRDefault="00957658" w:rsidP="00957658">
      <w:pPr>
        <w:ind w:firstLine="720"/>
      </w:pPr>
      <w:r w:rsidRPr="00F821A3">
        <w:t>Wahab Khan, PhD, Assistant Director, CGAT</w:t>
      </w:r>
    </w:p>
    <w:p w14:paraId="480A9127" w14:textId="13E654F3" w:rsidR="00957658" w:rsidRDefault="00957658" w:rsidP="00957658">
      <w:pPr>
        <w:ind w:firstLine="720"/>
      </w:pPr>
      <w:r>
        <w:t>Parth Shah, MD, Director CGAT Informatics</w:t>
      </w:r>
    </w:p>
    <w:p w14:paraId="704A9BDC" w14:textId="55565107" w:rsidR="008B5782" w:rsidRPr="00F821A3" w:rsidRDefault="008B5782" w:rsidP="008B5782">
      <w:pPr>
        <w:rPr>
          <w:color w:val="000000"/>
        </w:rPr>
      </w:pPr>
      <w:r w:rsidRPr="00F821A3">
        <w:tab/>
      </w:r>
      <w:r w:rsidR="00957658">
        <w:t>S</w:t>
      </w:r>
      <w:r w:rsidRPr="00F821A3">
        <w:rPr>
          <w:color w:val="000000"/>
        </w:rPr>
        <w:t xml:space="preserve">amantha Allen, </w:t>
      </w:r>
      <w:r w:rsidR="000D32F8">
        <w:rPr>
          <w:color w:val="000000"/>
        </w:rPr>
        <w:t xml:space="preserve">MB9ASCP), </w:t>
      </w:r>
      <w:r w:rsidRPr="00F821A3">
        <w:rPr>
          <w:color w:val="000000"/>
        </w:rPr>
        <w:t>Supervisor, CGAT</w:t>
      </w:r>
    </w:p>
    <w:p w14:paraId="2122DB7D" w14:textId="6A49FCEA" w:rsidR="00673F32" w:rsidRPr="00F821A3" w:rsidRDefault="008B5782" w:rsidP="00316FAE">
      <w:r w:rsidRPr="00F821A3">
        <w:rPr>
          <w:color w:val="000000"/>
        </w:rPr>
        <w:tab/>
        <w:t xml:space="preserve">Heather Steinmetz, </w:t>
      </w:r>
      <w:r w:rsidR="000D32F8">
        <w:rPr>
          <w:color w:val="000000"/>
        </w:rPr>
        <w:t>MB (ASCP)</w:t>
      </w:r>
      <w:r w:rsidRPr="00F821A3">
        <w:rPr>
          <w:color w:val="000000"/>
        </w:rPr>
        <w:t>,</w:t>
      </w:r>
      <w:r w:rsidRPr="00F821A3">
        <w:t xml:space="preserve"> Manager, CGAT</w:t>
      </w:r>
    </w:p>
    <w:p w14:paraId="210F49F7" w14:textId="5B45D5AB" w:rsidR="00442490" w:rsidRPr="00D60396" w:rsidRDefault="00442490" w:rsidP="00316FAE">
      <w:pPr>
        <w:rPr>
          <w:rFonts w:eastAsia="Calibri"/>
        </w:rPr>
      </w:pPr>
      <w:r w:rsidRPr="00D60396">
        <w:rPr>
          <w:rFonts w:eastAsia="Calibri"/>
        </w:rPr>
        <w:t xml:space="preserve"> </w:t>
      </w:r>
      <w:r w:rsidRPr="00D60396">
        <w:rPr>
          <w:rFonts w:eastAsia="Calibri"/>
        </w:rPr>
        <w:tab/>
      </w:r>
    </w:p>
    <w:p w14:paraId="4550FB42" w14:textId="19F55B1D" w:rsidR="00673F32" w:rsidRDefault="00316FAE" w:rsidP="00316FAE">
      <w:pPr>
        <w:rPr>
          <w:color w:val="000000"/>
        </w:rPr>
      </w:pPr>
      <w:r w:rsidRPr="00D60396">
        <w:rPr>
          <w:rFonts w:eastAsia="Calibri"/>
          <w:b/>
        </w:rPr>
        <w:t>Date:</w:t>
      </w:r>
      <w:r w:rsidR="008B5782">
        <w:rPr>
          <w:rFonts w:eastAsia="Calibri"/>
          <w:b/>
        </w:rPr>
        <w:t xml:space="preserve"> </w:t>
      </w:r>
      <w:r w:rsidR="00957658">
        <w:rPr>
          <w:color w:val="000000"/>
        </w:rPr>
        <w:t>December 5</w:t>
      </w:r>
      <w:r w:rsidR="008B5782" w:rsidRPr="00F821A3">
        <w:rPr>
          <w:color w:val="000000"/>
        </w:rPr>
        <w:t>, 2022</w:t>
      </w:r>
    </w:p>
    <w:p w14:paraId="74B51A7C" w14:textId="62C5F4AA" w:rsidR="00957658" w:rsidRDefault="00957658" w:rsidP="00316FAE">
      <w:pPr>
        <w:rPr>
          <w:color w:val="000000"/>
        </w:rPr>
      </w:pPr>
    </w:p>
    <w:p w14:paraId="518357CB" w14:textId="79208BF3" w:rsidR="00C85B5F" w:rsidRDefault="00957658" w:rsidP="00C85B5F">
      <w:pPr>
        <w:pStyle w:val="NormalWeb"/>
        <w:rPr>
          <w:rFonts w:ascii="Calibri" w:hAnsi="Calibri" w:cs="Calibri"/>
          <w:color w:val="000000"/>
        </w:rPr>
      </w:pPr>
      <w:r w:rsidRPr="00957658">
        <w:rPr>
          <w:rFonts w:eastAsia="Calibri"/>
          <w:b/>
        </w:rPr>
        <w:t>RE:</w:t>
      </w:r>
      <w:r w:rsidR="00C85B5F">
        <w:rPr>
          <w:rFonts w:eastAsia="Calibri"/>
          <w:b/>
        </w:rPr>
        <w:t xml:space="preserve">    </w:t>
      </w:r>
      <w:r w:rsidR="00C85B5F" w:rsidRPr="00C85B5F">
        <w:rPr>
          <w:b/>
          <w:bCs/>
          <w:color w:val="000000"/>
        </w:rPr>
        <w:t>Myeloproliferative Neoplasm (MPN) Test - changes to ordering and reporting</w:t>
      </w:r>
    </w:p>
    <w:p w14:paraId="4A6B2380" w14:textId="4A7DA72D" w:rsidR="00957658" w:rsidRPr="00957658" w:rsidRDefault="00957658" w:rsidP="00957658">
      <w:pPr>
        <w:rPr>
          <w:rFonts w:eastAsia="Calibri"/>
          <w:b/>
        </w:rPr>
      </w:pPr>
    </w:p>
    <w:p w14:paraId="0B3DB4A1" w14:textId="61865247" w:rsidR="00957658" w:rsidRPr="00957658" w:rsidRDefault="00957658" w:rsidP="00957658">
      <w:pPr>
        <w:rPr>
          <w:rFonts w:eastAsia="Calibri"/>
        </w:rPr>
      </w:pPr>
      <w:r w:rsidRPr="00957658">
        <w:rPr>
          <w:rFonts w:eastAsia="Calibri"/>
        </w:rPr>
        <w:t>Beginning immediately, the CGAT laboratory at DHMC will transition away from a standalone JAK2 V617F assay with reflexive myeloid gene sequencing panel testing for screening of myeloproliferative neoplasms. The testing methodology for cases of suspected polycythemia vera, essential thrombocythemia, and primary myelofibrosis will change to assessment by a sequencing gene panel, and reported variants will be limited only to the diagnostically pertinent MPN-related genes. There will be slight changes to ordering in eDH.</w:t>
      </w:r>
    </w:p>
    <w:p w14:paraId="790F6467" w14:textId="5E8BB1DC" w:rsidR="00957658" w:rsidRPr="00957658" w:rsidRDefault="00957658" w:rsidP="00957658">
      <w:pPr>
        <w:rPr>
          <w:rFonts w:eastAsia="Calibri"/>
        </w:rPr>
      </w:pPr>
    </w:p>
    <w:p w14:paraId="30333B3C" w14:textId="58D5C03C" w:rsidR="00957658" w:rsidRPr="00957658" w:rsidRDefault="00957658" w:rsidP="00957658">
      <w:pPr>
        <w:rPr>
          <w:rFonts w:eastAsia="Calibri"/>
        </w:rPr>
      </w:pPr>
      <w:r w:rsidRPr="00957658">
        <w:rPr>
          <w:rFonts w:eastAsia="Calibri"/>
        </w:rPr>
        <w:t>The new test order names in DOE are as follows:</w:t>
      </w:r>
    </w:p>
    <w:p w14:paraId="6A0FE254" w14:textId="77777777" w:rsidR="00957658" w:rsidRDefault="00957658" w:rsidP="00957658"/>
    <w:tbl>
      <w:tblPr>
        <w:tblStyle w:val="TableGrid"/>
        <w:tblW w:w="0" w:type="auto"/>
        <w:tblLook w:val="04A0" w:firstRow="1" w:lastRow="0" w:firstColumn="1" w:lastColumn="0" w:noHBand="0" w:noVBand="1"/>
      </w:tblPr>
      <w:tblGrid>
        <w:gridCol w:w="5305"/>
        <w:gridCol w:w="4045"/>
      </w:tblGrid>
      <w:tr w:rsidR="00957658" w14:paraId="08B7085E" w14:textId="77777777" w:rsidTr="00B9693E">
        <w:tc>
          <w:tcPr>
            <w:tcW w:w="5305" w:type="dxa"/>
          </w:tcPr>
          <w:p w14:paraId="7E6AA51A" w14:textId="77777777" w:rsidR="00957658" w:rsidRPr="00867784" w:rsidRDefault="00957658" w:rsidP="00B9693E">
            <w:pPr>
              <w:rPr>
                <w:b/>
              </w:rPr>
            </w:pPr>
            <w:r w:rsidRPr="00867784">
              <w:rPr>
                <w:b/>
              </w:rPr>
              <w:t>TEST NAME</w:t>
            </w:r>
          </w:p>
        </w:tc>
        <w:tc>
          <w:tcPr>
            <w:tcW w:w="4045" w:type="dxa"/>
          </w:tcPr>
          <w:p w14:paraId="5C4CC88F" w14:textId="77777777" w:rsidR="00957658" w:rsidRPr="00867784" w:rsidRDefault="00957658" w:rsidP="00B9693E">
            <w:pPr>
              <w:rPr>
                <w:b/>
              </w:rPr>
            </w:pPr>
            <w:r w:rsidRPr="00867784">
              <w:rPr>
                <w:b/>
              </w:rPr>
              <w:t>CLINICAL INDICATION</w:t>
            </w:r>
          </w:p>
        </w:tc>
      </w:tr>
      <w:tr w:rsidR="00957658" w14:paraId="425A7D21" w14:textId="77777777" w:rsidTr="00B9693E">
        <w:tc>
          <w:tcPr>
            <w:tcW w:w="5305" w:type="dxa"/>
          </w:tcPr>
          <w:p w14:paraId="70C8BFA2" w14:textId="77777777" w:rsidR="00957658" w:rsidRDefault="00957658" w:rsidP="00B9693E">
            <w:r>
              <w:t>JAK2 V617F, Exon 12, and Other Non-V617F Mutation Analysis</w:t>
            </w:r>
          </w:p>
        </w:tc>
        <w:tc>
          <w:tcPr>
            <w:tcW w:w="4045" w:type="dxa"/>
          </w:tcPr>
          <w:p w14:paraId="606CA09C" w14:textId="77777777" w:rsidR="00957658" w:rsidRDefault="00957658" w:rsidP="00B9693E">
            <w:r>
              <w:t>Erythrocytosis; and specific concern for polycythemia vera</w:t>
            </w:r>
          </w:p>
        </w:tc>
      </w:tr>
      <w:tr w:rsidR="00957658" w14:paraId="6A5915D6" w14:textId="77777777" w:rsidTr="00B9693E">
        <w:tc>
          <w:tcPr>
            <w:tcW w:w="5305" w:type="dxa"/>
          </w:tcPr>
          <w:p w14:paraId="247F2984" w14:textId="77777777" w:rsidR="00957658" w:rsidRDefault="00957658" w:rsidP="00B9693E">
            <w:r>
              <w:t>JAK2, CALR, and MPL Mutation Analysis</w:t>
            </w:r>
          </w:p>
        </w:tc>
        <w:tc>
          <w:tcPr>
            <w:tcW w:w="4045" w:type="dxa"/>
          </w:tcPr>
          <w:p w14:paraId="3D686E37" w14:textId="77777777" w:rsidR="00957658" w:rsidRDefault="00957658" w:rsidP="00B9693E">
            <w:r>
              <w:t>Thrombocytosis, Leukocytosis, or other/mixed; clinically concerning for myeloproliferative neoplasm</w:t>
            </w:r>
          </w:p>
        </w:tc>
      </w:tr>
      <w:tr w:rsidR="00957658" w14:paraId="19B21666" w14:textId="77777777" w:rsidTr="00B9693E">
        <w:tc>
          <w:tcPr>
            <w:tcW w:w="5305" w:type="dxa"/>
          </w:tcPr>
          <w:p w14:paraId="76A7951F" w14:textId="77777777" w:rsidR="00957658" w:rsidRDefault="00957658" w:rsidP="00B9693E">
            <w:r>
              <w:t>KIT Exon 17 Mutation Analysis</w:t>
            </w:r>
          </w:p>
        </w:tc>
        <w:tc>
          <w:tcPr>
            <w:tcW w:w="4045" w:type="dxa"/>
          </w:tcPr>
          <w:p w14:paraId="1610B30F" w14:textId="77777777" w:rsidR="00957658" w:rsidRDefault="00957658" w:rsidP="00B9693E">
            <w:r>
              <w:t>Evaluate for presence of KIT exon 17 mutation</w:t>
            </w:r>
          </w:p>
        </w:tc>
      </w:tr>
    </w:tbl>
    <w:p w14:paraId="601219A0" w14:textId="77777777" w:rsidR="00957658" w:rsidRDefault="00957658" w:rsidP="00957658">
      <w:r>
        <w:t xml:space="preserve"> </w:t>
      </w:r>
    </w:p>
    <w:p w14:paraId="0BAC2521" w14:textId="77777777" w:rsidR="00957658" w:rsidRPr="00957658" w:rsidRDefault="00957658" w:rsidP="00957658">
      <w:pPr>
        <w:rPr>
          <w:rFonts w:eastAsia="Calibri"/>
        </w:rPr>
      </w:pPr>
      <w:r w:rsidRPr="00957658">
        <w:rPr>
          <w:rFonts w:eastAsia="Calibri"/>
        </w:rPr>
        <w:t xml:space="preserve">As these tests should be ordered only when screening for myeloproliferative neoplasms, the reported variants will be limited to the genes described in the test name (rather than findings from the entire gene panel). Test results will be presented in the more typical eDH text-based format (not a PDF document), and will be found in eDH under Laboratory Results &gt; Molecular Pathology. </w:t>
      </w:r>
    </w:p>
    <w:p w14:paraId="6619120B" w14:textId="77777777" w:rsidR="00957658" w:rsidRPr="00957658" w:rsidRDefault="00957658" w:rsidP="00957658">
      <w:pPr>
        <w:rPr>
          <w:rFonts w:eastAsia="Calibri"/>
        </w:rPr>
      </w:pPr>
    </w:p>
    <w:p w14:paraId="6AD61808" w14:textId="77777777" w:rsidR="00957658" w:rsidRPr="00957658" w:rsidRDefault="00957658" w:rsidP="00957658">
      <w:pPr>
        <w:rPr>
          <w:rFonts w:eastAsia="Calibri"/>
        </w:rPr>
      </w:pPr>
      <w:r w:rsidRPr="00957658">
        <w:rPr>
          <w:rFonts w:eastAsia="Calibri"/>
        </w:rPr>
        <w:t>Given limitations of methodology, the KIT exon17 mutation analysis may not achieve necessary sensitivity for blood screening in patients with systemic mastocytosis. In this scenario, blood should be sent out to Mayo Clinic Labs ASO-PCR assessment of KIT p.D816V mutation (Test ID: KITVS).</w:t>
      </w:r>
    </w:p>
    <w:p w14:paraId="3264DFF2" w14:textId="77777777" w:rsidR="00957658" w:rsidRPr="00957658" w:rsidRDefault="00957658" w:rsidP="00957658">
      <w:pPr>
        <w:rPr>
          <w:rFonts w:eastAsia="Calibri"/>
        </w:rPr>
      </w:pPr>
    </w:p>
    <w:p w14:paraId="5F481411" w14:textId="62F01643" w:rsidR="00957658" w:rsidRPr="00957658" w:rsidRDefault="00957658" w:rsidP="00957658">
      <w:pPr>
        <w:rPr>
          <w:rFonts w:eastAsia="Calibri"/>
        </w:rPr>
      </w:pPr>
      <w:r w:rsidRPr="00957658">
        <w:rPr>
          <w:rFonts w:eastAsia="Calibri"/>
        </w:rPr>
        <w:t>For questions regarding this clinical laboratory update, please contact: Eric.Y.Loo@hitchcock.org</w:t>
      </w:r>
    </w:p>
    <w:p w14:paraId="1B7CDF13" w14:textId="514B0022" w:rsidR="00316FAE" w:rsidRPr="00957658" w:rsidRDefault="00316FAE" w:rsidP="00316FAE">
      <w:pPr>
        <w:rPr>
          <w:rFonts w:eastAsia="Calibri"/>
        </w:rPr>
      </w:pPr>
      <w:r w:rsidRPr="00957658">
        <w:rPr>
          <w:rFonts w:eastAsia="Calibri"/>
        </w:rPr>
        <w:t xml:space="preserve"> </w:t>
      </w:r>
    </w:p>
    <w:sectPr w:rsidR="00316FAE" w:rsidRPr="00957658" w:rsidSect="004530EB">
      <w:headerReference w:type="default" r:id="rId7"/>
      <w:footerReference w:type="even" r:id="rId8"/>
      <w:footerReference w:type="default" r:id="rId9"/>
      <w:headerReference w:type="first" r:id="rId10"/>
      <w:pgSz w:w="12240" w:h="15840"/>
      <w:pgMar w:top="1440" w:right="547" w:bottom="0" w:left="547" w:header="450" w:footer="9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4C9D7E" w14:textId="77777777" w:rsidR="00227313" w:rsidRDefault="00227313">
      <w:r>
        <w:separator/>
      </w:r>
    </w:p>
  </w:endnote>
  <w:endnote w:type="continuationSeparator" w:id="0">
    <w:p w14:paraId="130B3FEC" w14:textId="77777777" w:rsidR="00227313" w:rsidRDefault="00227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fontKey="{8ED3C006-7FCB-4AD2-9531-FAA55BC10C12}"/>
    <w:embedBold r:id="rId2" w:fontKey="{353EC6B9-2095-489B-86E4-F94EF4C69D19}"/>
    <w:embedItalic r:id="rId3" w:fontKey="{9812CF2D-8624-421B-9FE1-A72F2695F1C1}"/>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utura Std Light">
    <w:panose1 w:val="020B0402020204020303"/>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07E17" w14:textId="56FD5988" w:rsidR="005A604E" w:rsidRDefault="005A604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467C0" w14:textId="77777777" w:rsidR="005A604E" w:rsidRDefault="005A604E">
    <w:pPr>
      <w:pStyle w:val="Footer"/>
      <w:jc w:val="right"/>
      <w:rPr>
        <w:rFonts w:ascii="Futura Std Light" w:hAnsi="Futura Std Light"/>
      </w:rPr>
    </w:pPr>
    <w:r>
      <w:rPr>
        <w:noProof/>
      </w:rPr>
      <w:drawing>
        <wp:inline distT="0" distB="0" distL="0" distR="0" wp14:anchorId="57A713ED" wp14:editId="3FB4410A">
          <wp:extent cx="1628775" cy="209550"/>
          <wp:effectExtent l="19050" t="0" r="9525" b="0"/>
          <wp:docPr id="70" name="Picture 70" descr="second_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ond_sheet"/>
                  <pic:cNvPicPr>
                    <a:picLocks noChangeAspect="1" noChangeArrowheads="1"/>
                  </pic:cNvPicPr>
                </pic:nvPicPr>
                <pic:blipFill>
                  <a:blip r:embed="rId1"/>
                  <a:srcRect/>
                  <a:stretch>
                    <a:fillRect/>
                  </a:stretch>
                </pic:blipFill>
                <pic:spPr bwMode="auto">
                  <a:xfrm>
                    <a:off x="0" y="0"/>
                    <a:ext cx="1628775" cy="2095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EA6E93" w14:textId="77777777" w:rsidR="00227313" w:rsidRDefault="00227313">
      <w:r>
        <w:separator/>
      </w:r>
    </w:p>
  </w:footnote>
  <w:footnote w:type="continuationSeparator" w:id="0">
    <w:p w14:paraId="0A9E3B73" w14:textId="77777777" w:rsidR="00227313" w:rsidRDefault="002273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332A0" w14:textId="77777777" w:rsidR="005A604E" w:rsidRDefault="005A604E">
    <w:pPr>
      <w:pStyle w:val="Header"/>
      <w:tabs>
        <w:tab w:val="center" w:pos="2520"/>
        <w:tab w:val="center" w:pos="2880"/>
      </w:tabs>
      <w:ind w:left="-180"/>
      <w:rPr>
        <w:color w:val="89B5AD"/>
        <w:sz w:val="18"/>
      </w:rPr>
    </w:pPr>
    <w:r>
      <w:rPr>
        <w:color w:val="89B5AD"/>
        <w:sz w:val="18"/>
      </w:rPr>
      <w:softHyphen/>
    </w:r>
    <w:r>
      <w:rPr>
        <w:color w:val="89B5AD"/>
        <w:sz w:val="18"/>
      </w:rPr>
      <w:softHyphen/>
    </w:r>
    <w:r>
      <w:rPr>
        <w:color w:val="89B5AD"/>
        <w:sz w:val="18"/>
      </w:rPr>
      <w:softHyphen/>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6ED5E" w14:textId="0F0225B6" w:rsidR="000F355B" w:rsidRDefault="00AD5808">
    <w:pPr>
      <w:pStyle w:val="Header"/>
    </w:pPr>
    <w:r>
      <w:rPr>
        <w:noProof/>
      </w:rPr>
      <w:drawing>
        <wp:inline distT="0" distB="0" distL="0" distR="0" wp14:anchorId="417742E4" wp14:editId="4ED9A7AB">
          <wp:extent cx="7077710" cy="88328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077710" cy="8832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15096C"/>
    <w:multiLevelType w:val="hybridMultilevel"/>
    <w:tmpl w:val="F822C9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TrueTypeFonts/>
  <w:embedSystem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87"/>
  <w:drawingGridVerticalSpacing w:val="187"/>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E9D"/>
    <w:rsid w:val="00007432"/>
    <w:rsid w:val="000232E8"/>
    <w:rsid w:val="00036876"/>
    <w:rsid w:val="00064FDE"/>
    <w:rsid w:val="00084704"/>
    <w:rsid w:val="00094592"/>
    <w:rsid w:val="000D32F8"/>
    <w:rsid w:val="000F355B"/>
    <w:rsid w:val="00107DBC"/>
    <w:rsid w:val="0013795B"/>
    <w:rsid w:val="00142BD8"/>
    <w:rsid w:val="001604B6"/>
    <w:rsid w:val="001656A4"/>
    <w:rsid w:val="0019423C"/>
    <w:rsid w:val="001979A1"/>
    <w:rsid w:val="001A7DCC"/>
    <w:rsid w:val="001B562B"/>
    <w:rsid w:val="001B64E6"/>
    <w:rsid w:val="001F2B06"/>
    <w:rsid w:val="002017EA"/>
    <w:rsid w:val="00227313"/>
    <w:rsid w:val="00240055"/>
    <w:rsid w:val="00252539"/>
    <w:rsid w:val="002566AD"/>
    <w:rsid w:val="002A3B3F"/>
    <w:rsid w:val="002E4271"/>
    <w:rsid w:val="00316FAE"/>
    <w:rsid w:val="00330888"/>
    <w:rsid w:val="003A1BAB"/>
    <w:rsid w:val="003C102F"/>
    <w:rsid w:val="003C587E"/>
    <w:rsid w:val="003E573E"/>
    <w:rsid w:val="00437772"/>
    <w:rsid w:val="00442490"/>
    <w:rsid w:val="004530EB"/>
    <w:rsid w:val="00476A7A"/>
    <w:rsid w:val="004E1A02"/>
    <w:rsid w:val="00531357"/>
    <w:rsid w:val="00531BF8"/>
    <w:rsid w:val="00561CF7"/>
    <w:rsid w:val="005A1FFE"/>
    <w:rsid w:val="005A604E"/>
    <w:rsid w:val="005C5C49"/>
    <w:rsid w:val="00616F93"/>
    <w:rsid w:val="006468FD"/>
    <w:rsid w:val="00673F32"/>
    <w:rsid w:val="00681F69"/>
    <w:rsid w:val="00683AF9"/>
    <w:rsid w:val="00686D4F"/>
    <w:rsid w:val="006B1DF1"/>
    <w:rsid w:val="006C0036"/>
    <w:rsid w:val="006C4FB0"/>
    <w:rsid w:val="006E1377"/>
    <w:rsid w:val="007065DB"/>
    <w:rsid w:val="00765A72"/>
    <w:rsid w:val="00784879"/>
    <w:rsid w:val="007908A3"/>
    <w:rsid w:val="007A2D15"/>
    <w:rsid w:val="00853558"/>
    <w:rsid w:val="0088413E"/>
    <w:rsid w:val="008A45D5"/>
    <w:rsid w:val="008B5782"/>
    <w:rsid w:val="008E1882"/>
    <w:rsid w:val="008F546F"/>
    <w:rsid w:val="00902A0A"/>
    <w:rsid w:val="00903430"/>
    <w:rsid w:val="00921C70"/>
    <w:rsid w:val="00946EF2"/>
    <w:rsid w:val="009514BF"/>
    <w:rsid w:val="00957658"/>
    <w:rsid w:val="00961355"/>
    <w:rsid w:val="00973002"/>
    <w:rsid w:val="00973E8C"/>
    <w:rsid w:val="00991DEB"/>
    <w:rsid w:val="009A2EF4"/>
    <w:rsid w:val="009E4EB2"/>
    <w:rsid w:val="00A061F5"/>
    <w:rsid w:val="00A21B12"/>
    <w:rsid w:val="00A241C5"/>
    <w:rsid w:val="00A462CF"/>
    <w:rsid w:val="00A54067"/>
    <w:rsid w:val="00A71416"/>
    <w:rsid w:val="00AB1F55"/>
    <w:rsid w:val="00AC3E86"/>
    <w:rsid w:val="00AC76FF"/>
    <w:rsid w:val="00AD1174"/>
    <w:rsid w:val="00AD5808"/>
    <w:rsid w:val="00AF750B"/>
    <w:rsid w:val="00B04F3C"/>
    <w:rsid w:val="00B2181C"/>
    <w:rsid w:val="00B24ABF"/>
    <w:rsid w:val="00B35983"/>
    <w:rsid w:val="00B3647E"/>
    <w:rsid w:val="00B56BE5"/>
    <w:rsid w:val="00B622D0"/>
    <w:rsid w:val="00B7412B"/>
    <w:rsid w:val="00C14CF3"/>
    <w:rsid w:val="00C80E87"/>
    <w:rsid w:val="00C83214"/>
    <w:rsid w:val="00C85B5F"/>
    <w:rsid w:val="00CA3D80"/>
    <w:rsid w:val="00CA5218"/>
    <w:rsid w:val="00CB2A4B"/>
    <w:rsid w:val="00CD7CA1"/>
    <w:rsid w:val="00D27125"/>
    <w:rsid w:val="00D272D9"/>
    <w:rsid w:val="00D60396"/>
    <w:rsid w:val="00DA207C"/>
    <w:rsid w:val="00DB3AB4"/>
    <w:rsid w:val="00DD5E9D"/>
    <w:rsid w:val="00DE26CE"/>
    <w:rsid w:val="00DF0982"/>
    <w:rsid w:val="00E642EA"/>
    <w:rsid w:val="00E80E49"/>
    <w:rsid w:val="00E81988"/>
    <w:rsid w:val="00E83583"/>
    <w:rsid w:val="00EA7D55"/>
    <w:rsid w:val="00ED379A"/>
    <w:rsid w:val="00ED7287"/>
    <w:rsid w:val="00EF6FC4"/>
    <w:rsid w:val="00EF72A8"/>
    <w:rsid w:val="00F05A80"/>
    <w:rsid w:val="00F3083B"/>
    <w:rsid w:val="00F4221E"/>
    <w:rsid w:val="00F7358E"/>
    <w:rsid w:val="00F821A3"/>
    <w:rsid w:val="00F854F1"/>
    <w:rsid w:val="00F9002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977F0A2"/>
  <w15:docId w15:val="{7ABDBFD2-0AA5-4D9B-9D51-B8E3A1DC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41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413E"/>
    <w:pPr>
      <w:tabs>
        <w:tab w:val="center" w:pos="4320"/>
        <w:tab w:val="right" w:pos="8640"/>
      </w:tabs>
    </w:pPr>
  </w:style>
  <w:style w:type="paragraph" w:styleId="Footer">
    <w:name w:val="footer"/>
    <w:basedOn w:val="Normal"/>
    <w:link w:val="FooterChar"/>
    <w:rsid w:val="0088413E"/>
    <w:pPr>
      <w:tabs>
        <w:tab w:val="center" w:pos="4320"/>
        <w:tab w:val="right" w:pos="8640"/>
      </w:tabs>
    </w:pPr>
  </w:style>
  <w:style w:type="paragraph" w:styleId="BodyText">
    <w:name w:val="Body Text"/>
    <w:basedOn w:val="Normal"/>
    <w:rsid w:val="0088413E"/>
    <w:pPr>
      <w:ind w:right="1872"/>
    </w:pPr>
    <w:rPr>
      <w:rFonts w:ascii="Arial Narrow" w:hAnsi="Arial Narrow"/>
      <w:sz w:val="14"/>
    </w:rPr>
  </w:style>
  <w:style w:type="paragraph" w:styleId="NormalWeb">
    <w:name w:val="Normal (Web)"/>
    <w:basedOn w:val="Normal"/>
    <w:uiPriority w:val="99"/>
    <w:rsid w:val="0088413E"/>
    <w:pPr>
      <w:spacing w:before="100" w:beforeAutospacing="1" w:after="100" w:afterAutospacing="1"/>
    </w:pPr>
  </w:style>
  <w:style w:type="character" w:styleId="Strong">
    <w:name w:val="Strong"/>
    <w:basedOn w:val="DefaultParagraphFont"/>
    <w:qFormat/>
    <w:rsid w:val="0088413E"/>
    <w:rPr>
      <w:b/>
      <w:bCs/>
    </w:rPr>
  </w:style>
  <w:style w:type="character" w:styleId="Emphasis">
    <w:name w:val="Emphasis"/>
    <w:basedOn w:val="DefaultParagraphFont"/>
    <w:qFormat/>
    <w:rsid w:val="0088413E"/>
    <w:rPr>
      <w:i/>
      <w:iCs/>
    </w:rPr>
  </w:style>
  <w:style w:type="character" w:customStyle="1" w:styleId="HeaderChar">
    <w:name w:val="Header Char"/>
    <w:basedOn w:val="DefaultParagraphFont"/>
    <w:rsid w:val="0088413E"/>
    <w:rPr>
      <w:sz w:val="24"/>
      <w:szCs w:val="24"/>
    </w:rPr>
  </w:style>
  <w:style w:type="paragraph" w:styleId="BalloonText">
    <w:name w:val="Balloon Text"/>
    <w:basedOn w:val="Normal"/>
    <w:link w:val="BalloonTextChar"/>
    <w:uiPriority w:val="99"/>
    <w:semiHidden/>
    <w:unhideWhenUsed/>
    <w:rsid w:val="002017EA"/>
    <w:rPr>
      <w:rFonts w:ascii="Tahoma" w:hAnsi="Tahoma" w:cs="Tahoma"/>
      <w:sz w:val="16"/>
      <w:szCs w:val="16"/>
    </w:rPr>
  </w:style>
  <w:style w:type="character" w:customStyle="1" w:styleId="BalloonTextChar">
    <w:name w:val="Balloon Text Char"/>
    <w:basedOn w:val="DefaultParagraphFont"/>
    <w:link w:val="BalloonText"/>
    <w:uiPriority w:val="99"/>
    <w:semiHidden/>
    <w:rsid w:val="002017EA"/>
    <w:rPr>
      <w:rFonts w:ascii="Tahoma" w:hAnsi="Tahoma" w:cs="Tahoma"/>
      <w:sz w:val="16"/>
      <w:szCs w:val="16"/>
    </w:rPr>
  </w:style>
  <w:style w:type="character" w:styleId="Hyperlink">
    <w:name w:val="Hyperlink"/>
    <w:basedOn w:val="DefaultParagraphFont"/>
    <w:uiPriority w:val="99"/>
    <w:unhideWhenUsed/>
    <w:rsid w:val="00F90027"/>
    <w:rPr>
      <w:color w:val="0000FF" w:themeColor="hyperlink"/>
      <w:u w:val="single"/>
    </w:rPr>
  </w:style>
  <w:style w:type="character" w:styleId="CommentReference">
    <w:name w:val="annotation reference"/>
    <w:basedOn w:val="DefaultParagraphFont"/>
    <w:uiPriority w:val="99"/>
    <w:semiHidden/>
    <w:unhideWhenUsed/>
    <w:rsid w:val="00A061F5"/>
    <w:rPr>
      <w:sz w:val="16"/>
      <w:szCs w:val="16"/>
    </w:rPr>
  </w:style>
  <w:style w:type="paragraph" w:styleId="CommentText">
    <w:name w:val="annotation text"/>
    <w:basedOn w:val="Normal"/>
    <w:link w:val="CommentTextChar"/>
    <w:uiPriority w:val="99"/>
    <w:semiHidden/>
    <w:unhideWhenUsed/>
    <w:rsid w:val="00A061F5"/>
    <w:rPr>
      <w:sz w:val="20"/>
      <w:szCs w:val="20"/>
    </w:rPr>
  </w:style>
  <w:style w:type="character" w:customStyle="1" w:styleId="CommentTextChar">
    <w:name w:val="Comment Text Char"/>
    <w:basedOn w:val="DefaultParagraphFont"/>
    <w:link w:val="CommentText"/>
    <w:uiPriority w:val="99"/>
    <w:semiHidden/>
    <w:rsid w:val="00A061F5"/>
  </w:style>
  <w:style w:type="paragraph" w:styleId="CommentSubject">
    <w:name w:val="annotation subject"/>
    <w:basedOn w:val="CommentText"/>
    <w:next w:val="CommentText"/>
    <w:link w:val="CommentSubjectChar"/>
    <w:uiPriority w:val="99"/>
    <w:semiHidden/>
    <w:unhideWhenUsed/>
    <w:rsid w:val="00A061F5"/>
    <w:rPr>
      <w:b/>
      <w:bCs/>
    </w:rPr>
  </w:style>
  <w:style w:type="character" w:customStyle="1" w:styleId="CommentSubjectChar">
    <w:name w:val="Comment Subject Char"/>
    <w:basedOn w:val="CommentTextChar"/>
    <w:link w:val="CommentSubject"/>
    <w:uiPriority w:val="99"/>
    <w:semiHidden/>
    <w:rsid w:val="00A061F5"/>
    <w:rPr>
      <w:b/>
      <w:bCs/>
    </w:rPr>
  </w:style>
  <w:style w:type="character" w:styleId="FollowedHyperlink">
    <w:name w:val="FollowedHyperlink"/>
    <w:basedOn w:val="DefaultParagraphFont"/>
    <w:uiPriority w:val="99"/>
    <w:semiHidden/>
    <w:unhideWhenUsed/>
    <w:rsid w:val="00A061F5"/>
    <w:rPr>
      <w:color w:val="800080" w:themeColor="followedHyperlink"/>
      <w:u w:val="single"/>
    </w:rPr>
  </w:style>
  <w:style w:type="table" w:styleId="TableGrid">
    <w:name w:val="Table Grid"/>
    <w:basedOn w:val="TableNormal"/>
    <w:uiPriority w:val="39"/>
    <w:rsid w:val="006C4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084704"/>
    <w:rPr>
      <w:sz w:val="24"/>
      <w:szCs w:val="24"/>
    </w:rPr>
  </w:style>
  <w:style w:type="paragraph" w:styleId="ListParagraph">
    <w:name w:val="List Paragraph"/>
    <w:basedOn w:val="Normal"/>
    <w:uiPriority w:val="72"/>
    <w:qFormat/>
    <w:rsid w:val="001604B6"/>
    <w:pPr>
      <w:spacing w:after="200"/>
      <w:ind w:left="720"/>
      <w:contextualSpacing/>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754607">
      <w:bodyDiv w:val="1"/>
      <w:marLeft w:val="0"/>
      <w:marRight w:val="0"/>
      <w:marTop w:val="0"/>
      <w:marBottom w:val="0"/>
      <w:divBdr>
        <w:top w:val="none" w:sz="0" w:space="0" w:color="auto"/>
        <w:left w:val="none" w:sz="0" w:space="0" w:color="auto"/>
        <w:bottom w:val="none" w:sz="0" w:space="0" w:color="auto"/>
        <w:right w:val="none" w:sz="0" w:space="0" w:color="auto"/>
      </w:divBdr>
    </w:div>
    <w:div w:id="1441758716">
      <w:bodyDiv w:val="1"/>
      <w:marLeft w:val="0"/>
      <w:marRight w:val="0"/>
      <w:marTop w:val="0"/>
      <w:marBottom w:val="0"/>
      <w:divBdr>
        <w:top w:val="none" w:sz="0" w:space="0" w:color="auto"/>
        <w:left w:val="none" w:sz="0" w:space="0" w:color="auto"/>
        <w:bottom w:val="none" w:sz="0" w:space="0" w:color="auto"/>
        <w:right w:val="none" w:sz="0" w:space="0" w:color="auto"/>
      </w:divBdr>
    </w:div>
    <w:div w:id="1558281367">
      <w:bodyDiv w:val="1"/>
      <w:marLeft w:val="0"/>
      <w:marRight w:val="0"/>
      <w:marTop w:val="0"/>
      <w:marBottom w:val="0"/>
      <w:divBdr>
        <w:top w:val="none" w:sz="0" w:space="0" w:color="auto"/>
        <w:left w:val="none" w:sz="0" w:space="0" w:color="auto"/>
        <w:bottom w:val="none" w:sz="0" w:space="0" w:color="auto"/>
        <w:right w:val="none" w:sz="0" w:space="0" w:color="auto"/>
      </w:divBdr>
      <w:divsChild>
        <w:div w:id="692002227">
          <w:marLeft w:val="533"/>
          <w:marRight w:val="0"/>
          <w:marTop w:val="139"/>
          <w:marBottom w:val="0"/>
          <w:divBdr>
            <w:top w:val="none" w:sz="0" w:space="0" w:color="auto"/>
            <w:left w:val="none" w:sz="0" w:space="0" w:color="auto"/>
            <w:bottom w:val="none" w:sz="0" w:space="0" w:color="auto"/>
            <w:right w:val="none" w:sz="0" w:space="0" w:color="auto"/>
          </w:divBdr>
        </w:div>
      </w:divsChild>
    </w:div>
    <w:div w:id="1563103601">
      <w:bodyDiv w:val="1"/>
      <w:marLeft w:val="0"/>
      <w:marRight w:val="0"/>
      <w:marTop w:val="0"/>
      <w:marBottom w:val="0"/>
      <w:divBdr>
        <w:top w:val="none" w:sz="0" w:space="0" w:color="auto"/>
        <w:left w:val="none" w:sz="0" w:space="0" w:color="auto"/>
        <w:bottom w:val="none" w:sz="0" w:space="0" w:color="auto"/>
        <w:right w:val="none" w:sz="0" w:space="0" w:color="auto"/>
      </w:divBdr>
    </w:div>
    <w:div w:id="2052413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309</Words>
  <Characters>1881</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Vital &amp; Ryze Advertising, inc.</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Mayeu</dc:creator>
  <cp:lastModifiedBy>Sylvie Seguin</cp:lastModifiedBy>
  <cp:revision>2</cp:revision>
  <cp:lastPrinted>2021-05-27T16:36:00Z</cp:lastPrinted>
  <dcterms:created xsi:type="dcterms:W3CDTF">2022-12-07T13:07:00Z</dcterms:created>
  <dcterms:modified xsi:type="dcterms:W3CDTF">2022-12-07T13:07:00Z</dcterms:modified>
</cp:coreProperties>
</file>