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DA33A" w14:textId="77777777" w:rsidR="003A1BAB" w:rsidRDefault="003A1BAB" w:rsidP="00316FAE">
      <w:pPr>
        <w:rPr>
          <w:rFonts w:ascii="Calibri" w:eastAsia="Calibri" w:hAnsi="Calibri"/>
          <w:b/>
        </w:rPr>
      </w:pPr>
    </w:p>
    <w:p w14:paraId="2C9C667C" w14:textId="3132056F" w:rsidR="003A1BAB" w:rsidRDefault="003A1BAB" w:rsidP="00316FAE">
      <w:pPr>
        <w:rPr>
          <w:rFonts w:ascii="Calibri" w:eastAsia="Calibri" w:hAnsi="Calibri"/>
          <w:b/>
        </w:rPr>
      </w:pPr>
    </w:p>
    <w:p w14:paraId="0B77CD9C" w14:textId="3971D243" w:rsidR="00F70B31" w:rsidRPr="00F70B31" w:rsidRDefault="00F70B31" w:rsidP="00D513CB">
      <w:pPr>
        <w:tabs>
          <w:tab w:val="left" w:pos="900"/>
        </w:tabs>
        <w:rPr>
          <w:rFonts w:eastAsia="Calibri"/>
          <w:b/>
        </w:rPr>
      </w:pPr>
    </w:p>
    <w:p w14:paraId="178BA800" w14:textId="199311CA" w:rsidR="00D513CB" w:rsidRPr="00D513CB" w:rsidRDefault="00F70B31" w:rsidP="00D513CB">
      <w:pPr>
        <w:tabs>
          <w:tab w:val="left" w:pos="900"/>
        </w:tabs>
        <w:rPr>
          <w:rFonts w:ascii="Arial" w:hAnsi="Arial" w:cs="Arial"/>
        </w:rPr>
      </w:pPr>
      <w:r w:rsidRPr="00200D26">
        <w:rPr>
          <w:rFonts w:ascii="Arial" w:hAnsi="Arial" w:cs="Arial"/>
          <w:b/>
          <w:bCs/>
        </w:rPr>
        <w:t>T</w:t>
      </w:r>
      <w:r w:rsidR="00DD50CF">
        <w:rPr>
          <w:rFonts w:ascii="Arial" w:hAnsi="Arial" w:cs="Arial"/>
          <w:b/>
          <w:bCs/>
        </w:rPr>
        <w:t>o</w:t>
      </w:r>
      <w:r w:rsidRPr="00200D26">
        <w:rPr>
          <w:rFonts w:ascii="Arial" w:hAnsi="Arial" w:cs="Arial"/>
          <w:b/>
          <w:bCs/>
        </w:rPr>
        <w:t xml:space="preserve">: </w:t>
      </w:r>
      <w:r w:rsidR="00D513CB">
        <w:rPr>
          <w:rFonts w:ascii="Arial" w:hAnsi="Arial" w:cs="Arial"/>
          <w:b/>
          <w:bCs/>
        </w:rPr>
        <w:tab/>
      </w:r>
      <w:r w:rsidR="00D513CB">
        <w:rPr>
          <w:rFonts w:ascii="Arial" w:hAnsi="Arial" w:cs="Arial"/>
        </w:rPr>
        <w:t>All DHH Providers</w:t>
      </w:r>
      <w:r w:rsidR="00954FD0">
        <w:rPr>
          <w:rFonts w:ascii="Arial" w:hAnsi="Arial" w:cs="Arial"/>
        </w:rPr>
        <w:t xml:space="preserve"> Caring for Pediatric Patients</w:t>
      </w:r>
    </w:p>
    <w:p w14:paraId="4E291313" w14:textId="03BCD6FF" w:rsidR="00F70B31" w:rsidRPr="00200D26" w:rsidRDefault="00F70B31" w:rsidP="00D513CB">
      <w:pPr>
        <w:tabs>
          <w:tab w:val="left" w:pos="900"/>
        </w:tabs>
        <w:rPr>
          <w:rFonts w:ascii="Arial" w:hAnsi="Arial" w:cs="Arial"/>
          <w:b/>
          <w:bCs/>
          <w:sz w:val="22"/>
          <w:szCs w:val="22"/>
        </w:rPr>
      </w:pPr>
      <w:r w:rsidRPr="00200D26">
        <w:rPr>
          <w:rFonts w:ascii="Arial" w:hAnsi="Arial" w:cs="Arial"/>
          <w:b/>
          <w:bCs/>
        </w:rPr>
        <w:t xml:space="preserve">       </w:t>
      </w:r>
    </w:p>
    <w:p w14:paraId="1D8918F7" w14:textId="7C38B490" w:rsidR="00D513CB" w:rsidRDefault="00F70B31" w:rsidP="00D513CB">
      <w:pPr>
        <w:tabs>
          <w:tab w:val="left" w:pos="900"/>
        </w:tabs>
        <w:outlineLvl w:val="0"/>
        <w:rPr>
          <w:rFonts w:ascii="Arial" w:hAnsi="Arial" w:cs="Arial"/>
        </w:rPr>
      </w:pPr>
      <w:r w:rsidRPr="00200D26">
        <w:rPr>
          <w:rFonts w:ascii="Arial" w:hAnsi="Arial" w:cs="Arial"/>
          <w:b/>
          <w:bCs/>
        </w:rPr>
        <w:t>F</w:t>
      </w:r>
      <w:r w:rsidR="00DD50CF">
        <w:rPr>
          <w:rFonts w:ascii="Arial" w:hAnsi="Arial" w:cs="Arial"/>
          <w:b/>
          <w:bCs/>
        </w:rPr>
        <w:t>rom</w:t>
      </w:r>
      <w:r w:rsidRPr="00200D26">
        <w:rPr>
          <w:rFonts w:ascii="Arial" w:hAnsi="Arial" w:cs="Arial"/>
          <w:b/>
          <w:bCs/>
        </w:rPr>
        <w:t>:</w:t>
      </w:r>
      <w:r w:rsidR="00D513CB">
        <w:rPr>
          <w:rFonts w:ascii="Arial" w:hAnsi="Arial" w:cs="Arial"/>
          <w:b/>
          <w:bCs/>
        </w:rPr>
        <w:tab/>
      </w:r>
      <w:r w:rsidR="00D513CB">
        <w:rPr>
          <w:rFonts w:ascii="Arial" w:hAnsi="Arial" w:cs="Arial"/>
        </w:rPr>
        <w:t>Mark A. Cervinski, PhD, DABCC, Medical Director of Chemistry</w:t>
      </w:r>
      <w:r w:rsidR="0024090C">
        <w:rPr>
          <w:rFonts w:ascii="Arial" w:hAnsi="Arial" w:cs="Arial"/>
        </w:rPr>
        <w:t>, DHMC</w:t>
      </w:r>
    </w:p>
    <w:p w14:paraId="18CDA4AF" w14:textId="47982A10" w:rsidR="00F70B31" w:rsidRDefault="0024090C" w:rsidP="00D513CB">
      <w:pPr>
        <w:tabs>
          <w:tab w:val="left" w:pos="900"/>
        </w:tabs>
        <w:outlineLvl w:val="0"/>
        <w:rPr>
          <w:rFonts w:ascii="Arial" w:hAnsi="Arial" w:cs="Arial"/>
        </w:rPr>
      </w:pPr>
      <w:r>
        <w:rPr>
          <w:rFonts w:ascii="Arial" w:hAnsi="Arial" w:cs="Arial"/>
        </w:rPr>
        <w:tab/>
      </w:r>
      <w:r w:rsidR="00D513CB">
        <w:rPr>
          <w:rFonts w:ascii="Arial" w:hAnsi="Arial" w:cs="Arial"/>
        </w:rPr>
        <w:t>Sarah E. Labore, MLS(ASCP)</w:t>
      </w:r>
      <w:r w:rsidR="00D513CB">
        <w:rPr>
          <w:rFonts w:ascii="Arial" w:hAnsi="Arial" w:cs="Arial"/>
          <w:vertAlign w:val="superscript"/>
        </w:rPr>
        <w:t>CM</w:t>
      </w:r>
      <w:r w:rsidR="00D513CB">
        <w:rPr>
          <w:rFonts w:ascii="Arial" w:hAnsi="Arial" w:cs="Arial"/>
          <w:vertAlign w:val="subscript"/>
        </w:rPr>
        <w:t xml:space="preserve">, </w:t>
      </w:r>
      <w:r w:rsidR="00D513CB">
        <w:rPr>
          <w:rFonts w:ascii="Arial" w:hAnsi="Arial" w:cs="Arial"/>
        </w:rPr>
        <w:t>Chemistry and Night Shift Supervisor</w:t>
      </w:r>
      <w:r w:rsidR="00D43B28">
        <w:rPr>
          <w:rFonts w:ascii="Arial" w:hAnsi="Arial" w:cs="Arial"/>
        </w:rPr>
        <w:t>, DHMC</w:t>
      </w:r>
    </w:p>
    <w:p w14:paraId="24338CD1" w14:textId="5B4EBF2D" w:rsidR="00F70B31" w:rsidRPr="00200D26" w:rsidRDefault="00F70B31" w:rsidP="00D513CB">
      <w:pPr>
        <w:tabs>
          <w:tab w:val="left" w:pos="900"/>
        </w:tabs>
        <w:rPr>
          <w:rFonts w:ascii="Arial" w:hAnsi="Arial" w:cs="Arial"/>
          <w:b/>
          <w:bCs/>
        </w:rPr>
      </w:pPr>
      <w:r w:rsidRPr="00200D26">
        <w:rPr>
          <w:rFonts w:ascii="Arial" w:hAnsi="Arial" w:cs="Arial"/>
          <w:b/>
          <w:bCs/>
        </w:rPr>
        <w:t xml:space="preserve">                </w:t>
      </w:r>
    </w:p>
    <w:p w14:paraId="0E33DFBC" w14:textId="65B6D6F4" w:rsidR="00B71043" w:rsidRPr="00D513CB" w:rsidRDefault="00F70B31" w:rsidP="00D513CB">
      <w:pPr>
        <w:tabs>
          <w:tab w:val="left" w:pos="900"/>
        </w:tabs>
        <w:rPr>
          <w:rFonts w:ascii="Arial" w:hAnsi="Arial" w:cs="Arial"/>
        </w:rPr>
      </w:pPr>
      <w:r w:rsidRPr="00200D26">
        <w:rPr>
          <w:rFonts w:ascii="Arial" w:hAnsi="Arial" w:cs="Arial"/>
          <w:b/>
          <w:bCs/>
        </w:rPr>
        <w:t>Date:</w:t>
      </w:r>
      <w:r w:rsidR="00D513CB">
        <w:rPr>
          <w:rFonts w:ascii="Arial" w:hAnsi="Arial" w:cs="Arial"/>
        </w:rPr>
        <w:tab/>
      </w:r>
      <w:r w:rsidR="001D21A4">
        <w:rPr>
          <w:rFonts w:ascii="Arial" w:hAnsi="Arial" w:cs="Arial"/>
        </w:rPr>
        <w:t>November 17</w:t>
      </w:r>
      <w:r w:rsidR="00D513CB">
        <w:rPr>
          <w:rFonts w:ascii="Arial" w:hAnsi="Arial" w:cs="Arial"/>
        </w:rPr>
        <w:t>, 2025</w:t>
      </w:r>
    </w:p>
    <w:p w14:paraId="68ADED17" w14:textId="0D01840F" w:rsidR="00F70B31" w:rsidRPr="00200D26" w:rsidRDefault="00F70B31" w:rsidP="00D513CB">
      <w:pPr>
        <w:tabs>
          <w:tab w:val="left" w:pos="900"/>
        </w:tabs>
        <w:rPr>
          <w:rFonts w:ascii="Arial" w:hAnsi="Arial" w:cs="Arial"/>
          <w:b/>
          <w:bCs/>
        </w:rPr>
      </w:pPr>
      <w:r w:rsidRPr="00200D26">
        <w:rPr>
          <w:rFonts w:ascii="Arial" w:hAnsi="Arial" w:cs="Arial"/>
          <w:b/>
          <w:bCs/>
        </w:rPr>
        <w:t xml:space="preserve">      </w:t>
      </w:r>
    </w:p>
    <w:p w14:paraId="736D69EA" w14:textId="28F2684A" w:rsidR="00F70B31" w:rsidRDefault="00F70B31" w:rsidP="00D513CB">
      <w:pPr>
        <w:tabs>
          <w:tab w:val="left" w:pos="900"/>
        </w:tabs>
        <w:rPr>
          <w:rFonts w:ascii="Arial" w:hAnsi="Arial" w:cs="Arial"/>
        </w:rPr>
      </w:pPr>
      <w:r w:rsidRPr="00200D26">
        <w:rPr>
          <w:rFonts w:ascii="Arial" w:hAnsi="Arial" w:cs="Arial"/>
          <w:b/>
          <w:bCs/>
        </w:rPr>
        <w:t>Re:</w:t>
      </w:r>
      <w:r w:rsidR="00D513CB">
        <w:rPr>
          <w:b/>
          <w:bCs/>
        </w:rPr>
        <w:tab/>
      </w:r>
      <w:r w:rsidR="004429A3">
        <w:rPr>
          <w:rFonts w:ascii="Arial" w:hAnsi="Arial" w:cs="Arial"/>
        </w:rPr>
        <w:t>Update</w:t>
      </w:r>
      <w:r w:rsidR="001D21A4">
        <w:rPr>
          <w:rFonts w:ascii="Arial" w:hAnsi="Arial" w:cs="Arial"/>
        </w:rPr>
        <w:t>d Pediatric Reference Interval for Complement Factor 4 (C4)</w:t>
      </w:r>
    </w:p>
    <w:p w14:paraId="2B979B03" w14:textId="72228958" w:rsidR="00D513CB" w:rsidRDefault="00D513CB" w:rsidP="00D513CB">
      <w:pPr>
        <w:tabs>
          <w:tab w:val="left" w:pos="900"/>
        </w:tabs>
        <w:rPr>
          <w:rFonts w:ascii="Arial" w:hAnsi="Arial" w:cs="Arial"/>
        </w:rPr>
      </w:pPr>
    </w:p>
    <w:p w14:paraId="31FBEB35" w14:textId="250F64A1" w:rsidR="00D513CB" w:rsidRDefault="00D513CB" w:rsidP="00D513CB">
      <w:pPr>
        <w:tabs>
          <w:tab w:val="left" w:pos="900"/>
        </w:tabs>
        <w:rPr>
          <w:rFonts w:ascii="Arial" w:hAnsi="Arial" w:cs="Arial"/>
          <w:b/>
          <w:bCs/>
        </w:rPr>
      </w:pPr>
      <w:r>
        <w:rPr>
          <w:rFonts w:ascii="Arial" w:hAnsi="Arial" w:cs="Arial"/>
          <w:b/>
          <w:bCs/>
        </w:rPr>
        <w:t>What is changing?</w:t>
      </w:r>
    </w:p>
    <w:p w14:paraId="5A944137" w14:textId="41348061" w:rsidR="00D513CB" w:rsidRDefault="001D21A4" w:rsidP="00D513CB">
      <w:pPr>
        <w:tabs>
          <w:tab w:val="left" w:pos="900"/>
        </w:tabs>
        <w:rPr>
          <w:rFonts w:ascii="Arial" w:hAnsi="Arial" w:cs="Arial"/>
        </w:rPr>
      </w:pPr>
      <w:r>
        <w:rPr>
          <w:rFonts w:ascii="Arial" w:hAnsi="Arial" w:cs="Arial"/>
        </w:rPr>
        <w:t xml:space="preserve">Effective </w:t>
      </w:r>
      <w:r w:rsidR="00D43B28">
        <w:rPr>
          <w:rFonts w:ascii="Arial" w:hAnsi="Arial" w:cs="Arial"/>
        </w:rPr>
        <w:t>10/23/2025</w:t>
      </w:r>
      <w:r>
        <w:rPr>
          <w:rFonts w:ascii="Arial" w:hAnsi="Arial" w:cs="Arial"/>
        </w:rPr>
        <w:t xml:space="preserve"> the pediatric reference intervals for complement factor 4 (C4) testing performed in the</w:t>
      </w:r>
      <w:r w:rsidR="00D513CB">
        <w:rPr>
          <w:rFonts w:ascii="Arial" w:hAnsi="Arial" w:cs="Arial"/>
        </w:rPr>
        <w:t xml:space="preserve"> Chemistry </w:t>
      </w:r>
      <w:r w:rsidR="004429A3">
        <w:rPr>
          <w:rFonts w:ascii="Arial" w:hAnsi="Arial" w:cs="Arial"/>
        </w:rPr>
        <w:t>Laborator</w:t>
      </w:r>
      <w:r>
        <w:rPr>
          <w:rFonts w:ascii="Arial" w:hAnsi="Arial" w:cs="Arial"/>
        </w:rPr>
        <w:t xml:space="preserve">y </w:t>
      </w:r>
      <w:r w:rsidR="00E12299">
        <w:rPr>
          <w:rFonts w:ascii="Arial" w:hAnsi="Arial" w:cs="Arial"/>
        </w:rPr>
        <w:t xml:space="preserve">at DHMC </w:t>
      </w:r>
      <w:r>
        <w:rPr>
          <w:rFonts w:ascii="Arial" w:hAnsi="Arial" w:cs="Arial"/>
        </w:rPr>
        <w:t>have been updated.</w:t>
      </w:r>
      <w:r w:rsidR="004429A3">
        <w:rPr>
          <w:rFonts w:ascii="Arial" w:hAnsi="Arial" w:cs="Arial"/>
        </w:rPr>
        <w:t xml:space="preserve"> </w:t>
      </w:r>
      <w:r w:rsidR="00A6169A">
        <w:rPr>
          <w:rFonts w:ascii="Arial" w:eastAsia="Calibri" w:hAnsi="Arial" w:cs="Arial"/>
        </w:rPr>
        <w:t>Please note that there have been no changes to the test itself.</w:t>
      </w:r>
    </w:p>
    <w:p w14:paraId="5E4E6A2F" w14:textId="014C6B90" w:rsidR="00D513CB" w:rsidRDefault="00D513CB" w:rsidP="00D513CB">
      <w:pPr>
        <w:tabs>
          <w:tab w:val="left" w:pos="900"/>
        </w:tabs>
        <w:rPr>
          <w:rFonts w:ascii="Arial" w:hAnsi="Arial" w:cs="Arial"/>
        </w:rPr>
      </w:pPr>
    </w:p>
    <w:p w14:paraId="6BC728A9" w14:textId="3ACADA15" w:rsidR="00D513CB" w:rsidRDefault="00D513CB" w:rsidP="00D513CB">
      <w:pPr>
        <w:tabs>
          <w:tab w:val="left" w:pos="900"/>
        </w:tabs>
        <w:rPr>
          <w:rFonts w:ascii="Arial" w:hAnsi="Arial" w:cs="Arial"/>
        </w:rPr>
      </w:pPr>
      <w:r>
        <w:rPr>
          <w:rFonts w:ascii="Arial" w:hAnsi="Arial" w:cs="Arial"/>
          <w:b/>
          <w:bCs/>
        </w:rPr>
        <w:t>Why</w:t>
      </w:r>
      <w:r w:rsidR="001D21A4">
        <w:rPr>
          <w:rFonts w:ascii="Arial" w:hAnsi="Arial" w:cs="Arial"/>
          <w:b/>
          <w:bCs/>
        </w:rPr>
        <w:t xml:space="preserve"> was this change made</w:t>
      </w:r>
      <w:r>
        <w:rPr>
          <w:rFonts w:ascii="Arial" w:hAnsi="Arial" w:cs="Arial"/>
          <w:b/>
          <w:bCs/>
        </w:rPr>
        <w:t>?</w:t>
      </w:r>
    </w:p>
    <w:p w14:paraId="478518B0" w14:textId="26F04704" w:rsidR="00F70B31" w:rsidRDefault="001D21A4" w:rsidP="002F3219">
      <w:pPr>
        <w:tabs>
          <w:tab w:val="left" w:pos="900"/>
        </w:tabs>
        <w:rPr>
          <w:rFonts w:ascii="Arial" w:hAnsi="Arial" w:cs="Arial"/>
        </w:rPr>
      </w:pPr>
      <w:r>
        <w:rPr>
          <w:rFonts w:ascii="Arial" w:hAnsi="Arial" w:cs="Arial"/>
        </w:rPr>
        <w:t>The previous</w:t>
      </w:r>
      <w:r w:rsidR="00A6169A">
        <w:rPr>
          <w:rFonts w:ascii="Arial" w:hAnsi="Arial" w:cs="Arial"/>
        </w:rPr>
        <w:t xml:space="preserve"> </w:t>
      </w:r>
      <w:r>
        <w:rPr>
          <w:rFonts w:ascii="Arial" w:hAnsi="Arial" w:cs="Arial"/>
        </w:rPr>
        <w:t>pediatric reference intervals for C4 were determined on an older generation of laboratory equipment</w:t>
      </w:r>
      <w:r w:rsidR="0072180D">
        <w:rPr>
          <w:rFonts w:ascii="Arial" w:hAnsi="Arial" w:cs="Arial"/>
        </w:rPr>
        <w:t xml:space="preserve"> approximately 35 years prior to present. Reference intervals for proteins measured by immunoassay may differ between instrument platforms, and the updated reference intervals were determined specifically for the instruments used at DHMC. </w:t>
      </w:r>
    </w:p>
    <w:p w14:paraId="7FF11758" w14:textId="5F197537" w:rsidR="002F3219" w:rsidRDefault="002F3219" w:rsidP="002F3219">
      <w:pPr>
        <w:tabs>
          <w:tab w:val="left" w:pos="900"/>
        </w:tabs>
        <w:rPr>
          <w:rFonts w:ascii="Arial" w:hAnsi="Arial" w:cs="Arial"/>
        </w:rPr>
      </w:pPr>
    </w:p>
    <w:p w14:paraId="6EB2AEB2" w14:textId="28B8494D" w:rsidR="002F3219" w:rsidRPr="002F3219" w:rsidRDefault="002F3219" w:rsidP="002F3219">
      <w:pPr>
        <w:tabs>
          <w:tab w:val="left" w:pos="900"/>
        </w:tabs>
        <w:rPr>
          <w:b/>
          <w:bCs/>
        </w:rPr>
      </w:pPr>
      <w:r w:rsidRPr="002F3219">
        <w:rPr>
          <w:rFonts w:ascii="Arial" w:hAnsi="Arial" w:cs="Arial"/>
          <w:b/>
          <w:bCs/>
        </w:rPr>
        <w:t>What do providers need to do?</w:t>
      </w:r>
    </w:p>
    <w:p w14:paraId="14C12701" w14:textId="49EEBF8A" w:rsidR="00316FAE" w:rsidRPr="004429A3" w:rsidRDefault="00156053" w:rsidP="00316FAE">
      <w:pPr>
        <w:rPr>
          <w:rFonts w:ascii="Arial" w:eastAsia="Calibri" w:hAnsi="Arial" w:cs="Arial"/>
        </w:rPr>
      </w:pPr>
      <w:r>
        <w:rPr>
          <w:rFonts w:ascii="Arial" w:eastAsia="Calibri" w:hAnsi="Arial" w:cs="Arial"/>
        </w:rPr>
        <w:t xml:space="preserve">While the changes to the pediatric reference intervals are minor, providers should review the results of C4 measurement against the updated reference intervals. The previous and updated reference intervals are summarized in the table below. </w:t>
      </w:r>
    </w:p>
    <w:p w14:paraId="34056EE0" w14:textId="4F7B4ACF" w:rsidR="002F3219" w:rsidRDefault="002F3219" w:rsidP="00316FAE">
      <w:pPr>
        <w:rPr>
          <w:rFonts w:ascii="Calibri" w:eastAsia="Calibri" w:hAnsi="Calibri"/>
        </w:rPr>
      </w:pPr>
    </w:p>
    <w:tbl>
      <w:tblPr>
        <w:tblW w:w="0" w:type="auto"/>
        <w:jc w:val="center"/>
        <w:tblLook w:val="04A0" w:firstRow="1" w:lastRow="0" w:firstColumn="1" w:lastColumn="0" w:noHBand="0" w:noVBand="1"/>
      </w:tblPr>
      <w:tblGrid>
        <w:gridCol w:w="1916"/>
        <w:gridCol w:w="1878"/>
        <w:gridCol w:w="1866"/>
        <w:gridCol w:w="2355"/>
      </w:tblGrid>
      <w:tr w:rsidR="003E1190" w:rsidRPr="00FF4710" w14:paraId="1766311D" w14:textId="77777777" w:rsidTr="003E1190">
        <w:trPr>
          <w:trHeight w:val="315"/>
          <w:jc w:val="center"/>
        </w:trPr>
        <w:tc>
          <w:tcPr>
            <w:tcW w:w="3794" w:type="dxa"/>
            <w:gridSpan w:val="2"/>
            <w:tcBorders>
              <w:top w:val="single" w:sz="12" w:space="0" w:color="auto"/>
              <w:left w:val="single" w:sz="12" w:space="0" w:color="auto"/>
              <w:bottom w:val="single" w:sz="8" w:space="0" w:color="auto"/>
              <w:right w:val="single" w:sz="8" w:space="0" w:color="000000"/>
            </w:tcBorders>
            <w:shd w:val="clear" w:color="auto" w:fill="149A9D"/>
            <w:noWrap/>
            <w:vAlign w:val="bottom"/>
            <w:hideMark/>
          </w:tcPr>
          <w:p w14:paraId="638F6705" w14:textId="0CBADBC7" w:rsidR="003E1190" w:rsidRPr="00FF4710" w:rsidRDefault="003E1190">
            <w:pPr>
              <w:jc w:val="center"/>
              <w:rPr>
                <w:rFonts w:ascii="Calibri" w:hAnsi="Calibri" w:cs="Calibri"/>
                <w:b/>
                <w:bCs/>
                <w:color w:val="FFFFFF" w:themeColor="background1"/>
              </w:rPr>
            </w:pPr>
            <w:r>
              <w:rPr>
                <w:rFonts w:ascii="Calibri" w:hAnsi="Calibri" w:cs="Calibri"/>
                <w:b/>
                <w:bCs/>
                <w:color w:val="FFFFFF" w:themeColor="background1"/>
              </w:rPr>
              <w:t>Previous C4 Reference Intervals</w:t>
            </w:r>
          </w:p>
        </w:tc>
        <w:tc>
          <w:tcPr>
            <w:tcW w:w="4221" w:type="dxa"/>
            <w:gridSpan w:val="2"/>
            <w:tcBorders>
              <w:top w:val="single" w:sz="12" w:space="0" w:color="auto"/>
              <w:left w:val="nil"/>
              <w:bottom w:val="nil"/>
              <w:right w:val="single" w:sz="12" w:space="0" w:color="auto"/>
            </w:tcBorders>
            <w:shd w:val="clear" w:color="auto" w:fill="149A9D"/>
            <w:noWrap/>
            <w:vAlign w:val="bottom"/>
            <w:hideMark/>
          </w:tcPr>
          <w:p w14:paraId="738D1037" w14:textId="27A8E02C" w:rsidR="003E1190" w:rsidRPr="00FF4710" w:rsidRDefault="003E1190">
            <w:pPr>
              <w:jc w:val="center"/>
              <w:rPr>
                <w:rFonts w:ascii="Calibri" w:hAnsi="Calibri" w:cs="Calibri"/>
                <w:b/>
                <w:bCs/>
                <w:color w:val="FFFFFF" w:themeColor="background1"/>
              </w:rPr>
            </w:pPr>
            <w:r>
              <w:rPr>
                <w:rFonts w:ascii="Calibri" w:hAnsi="Calibri" w:cs="Calibri"/>
                <w:b/>
                <w:bCs/>
                <w:color w:val="FFFFFF" w:themeColor="background1"/>
              </w:rPr>
              <w:t>Updated C4 Reference Intervals</w:t>
            </w:r>
          </w:p>
        </w:tc>
      </w:tr>
      <w:tr w:rsidR="003E1190" w:rsidRPr="00FF4710" w14:paraId="14CB070B" w14:textId="77777777" w:rsidTr="003E1190">
        <w:trPr>
          <w:trHeight w:val="432"/>
          <w:jc w:val="center"/>
        </w:trPr>
        <w:tc>
          <w:tcPr>
            <w:tcW w:w="0" w:type="auto"/>
            <w:tcBorders>
              <w:top w:val="nil"/>
              <w:left w:val="single" w:sz="12" w:space="0" w:color="auto"/>
              <w:bottom w:val="nil"/>
              <w:right w:val="nil"/>
            </w:tcBorders>
            <w:shd w:val="clear" w:color="auto" w:fill="CAF0E6"/>
            <w:noWrap/>
            <w:vAlign w:val="center"/>
            <w:hideMark/>
          </w:tcPr>
          <w:p w14:paraId="4676E752" w14:textId="5CAC4FC5" w:rsidR="003E1190" w:rsidRPr="00FF4710" w:rsidRDefault="003E1190">
            <w:pPr>
              <w:rPr>
                <w:rFonts w:ascii="Arial" w:hAnsi="Arial" w:cs="Arial"/>
                <w:color w:val="000000"/>
                <w:sz w:val="18"/>
                <w:szCs w:val="18"/>
              </w:rPr>
            </w:pPr>
            <w:r>
              <w:rPr>
                <w:rFonts w:ascii="Arial" w:hAnsi="Arial" w:cs="Arial"/>
                <w:color w:val="000000"/>
                <w:sz w:val="18"/>
                <w:szCs w:val="18"/>
              </w:rPr>
              <w:t>Age</w:t>
            </w:r>
          </w:p>
        </w:tc>
        <w:tc>
          <w:tcPr>
            <w:tcW w:w="0" w:type="auto"/>
            <w:tcBorders>
              <w:top w:val="nil"/>
              <w:left w:val="nil"/>
              <w:bottom w:val="nil"/>
              <w:right w:val="single" w:sz="12" w:space="0" w:color="auto"/>
            </w:tcBorders>
            <w:shd w:val="clear" w:color="auto" w:fill="CAF0E6"/>
            <w:noWrap/>
            <w:vAlign w:val="center"/>
            <w:hideMark/>
          </w:tcPr>
          <w:p w14:paraId="5A95210F" w14:textId="2FAA2C4C" w:rsidR="003E1190" w:rsidRPr="00FF4710" w:rsidRDefault="003E1190">
            <w:pPr>
              <w:rPr>
                <w:rFonts w:ascii="Arial" w:hAnsi="Arial" w:cs="Arial"/>
                <w:color w:val="000000"/>
                <w:sz w:val="18"/>
                <w:szCs w:val="18"/>
              </w:rPr>
            </w:pPr>
            <w:r>
              <w:rPr>
                <w:rFonts w:ascii="Arial" w:hAnsi="Arial" w:cs="Arial"/>
                <w:color w:val="000000"/>
                <w:sz w:val="18"/>
                <w:szCs w:val="18"/>
              </w:rPr>
              <w:t>Reference Interval</w:t>
            </w:r>
          </w:p>
        </w:tc>
        <w:tc>
          <w:tcPr>
            <w:tcW w:w="1866" w:type="dxa"/>
            <w:tcBorders>
              <w:top w:val="single" w:sz="8" w:space="0" w:color="auto"/>
              <w:left w:val="single" w:sz="12" w:space="0" w:color="auto"/>
              <w:bottom w:val="nil"/>
              <w:right w:val="nil"/>
            </w:tcBorders>
            <w:shd w:val="clear" w:color="auto" w:fill="CAF0E6"/>
            <w:noWrap/>
            <w:vAlign w:val="center"/>
            <w:hideMark/>
          </w:tcPr>
          <w:p w14:paraId="0772A764" w14:textId="53CCB0C2" w:rsidR="003E1190" w:rsidRPr="00FF4710" w:rsidRDefault="003E1190">
            <w:pPr>
              <w:rPr>
                <w:rFonts w:ascii="Arial" w:hAnsi="Arial" w:cs="Arial"/>
                <w:color w:val="000000"/>
                <w:sz w:val="18"/>
                <w:szCs w:val="18"/>
              </w:rPr>
            </w:pPr>
            <w:r>
              <w:rPr>
                <w:rFonts w:ascii="Arial" w:hAnsi="Arial" w:cs="Arial"/>
                <w:color w:val="000000"/>
                <w:sz w:val="18"/>
                <w:szCs w:val="18"/>
              </w:rPr>
              <w:t>Age</w:t>
            </w:r>
          </w:p>
        </w:tc>
        <w:tc>
          <w:tcPr>
            <w:tcW w:w="0" w:type="auto"/>
            <w:tcBorders>
              <w:top w:val="single" w:sz="8" w:space="0" w:color="auto"/>
              <w:left w:val="nil"/>
              <w:bottom w:val="nil"/>
              <w:right w:val="single" w:sz="12" w:space="0" w:color="auto"/>
            </w:tcBorders>
            <w:shd w:val="clear" w:color="auto" w:fill="CAF0E6"/>
            <w:noWrap/>
            <w:vAlign w:val="center"/>
            <w:hideMark/>
          </w:tcPr>
          <w:p w14:paraId="548C5EA0" w14:textId="706E5EC1" w:rsidR="003E1190" w:rsidRPr="00FF4710" w:rsidRDefault="003E1190">
            <w:pPr>
              <w:rPr>
                <w:rFonts w:ascii="Arial" w:hAnsi="Arial" w:cs="Arial"/>
                <w:color w:val="000000"/>
                <w:sz w:val="18"/>
                <w:szCs w:val="18"/>
              </w:rPr>
            </w:pPr>
            <w:r>
              <w:rPr>
                <w:rFonts w:ascii="Arial" w:hAnsi="Arial" w:cs="Arial"/>
                <w:color w:val="000000"/>
                <w:sz w:val="18"/>
                <w:szCs w:val="18"/>
              </w:rPr>
              <w:t>Reference Interval</w:t>
            </w:r>
          </w:p>
        </w:tc>
      </w:tr>
      <w:tr w:rsidR="003E1190" w:rsidRPr="00FF4710" w14:paraId="0F25B405" w14:textId="77777777" w:rsidTr="003E1190">
        <w:trPr>
          <w:trHeight w:val="432"/>
          <w:jc w:val="center"/>
        </w:trPr>
        <w:tc>
          <w:tcPr>
            <w:tcW w:w="0" w:type="auto"/>
            <w:tcBorders>
              <w:top w:val="nil"/>
              <w:left w:val="single" w:sz="12" w:space="0" w:color="auto"/>
              <w:bottom w:val="nil"/>
              <w:right w:val="nil"/>
            </w:tcBorders>
            <w:shd w:val="clear" w:color="auto" w:fill="auto"/>
            <w:noWrap/>
            <w:vAlign w:val="center"/>
            <w:hideMark/>
          </w:tcPr>
          <w:p w14:paraId="4BD9EBF7" w14:textId="4932F01A" w:rsidR="003E1190" w:rsidRPr="00FF4710" w:rsidRDefault="003E1190">
            <w:pPr>
              <w:rPr>
                <w:rFonts w:ascii="Arial" w:hAnsi="Arial" w:cs="Arial"/>
                <w:color w:val="000000"/>
                <w:sz w:val="18"/>
                <w:szCs w:val="18"/>
              </w:rPr>
            </w:pPr>
            <w:r>
              <w:rPr>
                <w:rFonts w:ascii="Arial" w:hAnsi="Arial" w:cs="Arial"/>
                <w:color w:val="000000"/>
                <w:sz w:val="18"/>
                <w:szCs w:val="18"/>
              </w:rPr>
              <w:t>0 days - &lt; 6 days</w:t>
            </w:r>
          </w:p>
        </w:tc>
        <w:tc>
          <w:tcPr>
            <w:tcW w:w="0" w:type="auto"/>
            <w:tcBorders>
              <w:top w:val="nil"/>
              <w:left w:val="nil"/>
              <w:bottom w:val="nil"/>
              <w:right w:val="single" w:sz="12" w:space="0" w:color="auto"/>
            </w:tcBorders>
            <w:shd w:val="clear" w:color="auto" w:fill="auto"/>
            <w:noWrap/>
            <w:vAlign w:val="center"/>
            <w:hideMark/>
          </w:tcPr>
          <w:p w14:paraId="023E3AB3" w14:textId="61C4D7E4" w:rsidR="003E1190" w:rsidRPr="00FF4710" w:rsidRDefault="003E1190">
            <w:pPr>
              <w:rPr>
                <w:rFonts w:ascii="Arial" w:hAnsi="Arial" w:cs="Arial"/>
                <w:color w:val="000000"/>
                <w:sz w:val="18"/>
                <w:szCs w:val="18"/>
              </w:rPr>
            </w:pPr>
            <w:r>
              <w:rPr>
                <w:rFonts w:ascii="Arial" w:hAnsi="Arial" w:cs="Arial"/>
                <w:color w:val="000000"/>
                <w:sz w:val="18"/>
                <w:szCs w:val="18"/>
              </w:rPr>
              <w:t>6 – 37 mg/dL</w:t>
            </w:r>
          </w:p>
        </w:tc>
        <w:tc>
          <w:tcPr>
            <w:tcW w:w="1866" w:type="dxa"/>
            <w:tcBorders>
              <w:top w:val="nil"/>
              <w:left w:val="single" w:sz="12" w:space="0" w:color="auto"/>
              <w:bottom w:val="nil"/>
              <w:right w:val="nil"/>
            </w:tcBorders>
            <w:shd w:val="clear" w:color="auto" w:fill="auto"/>
            <w:noWrap/>
            <w:vAlign w:val="center"/>
            <w:hideMark/>
          </w:tcPr>
          <w:p w14:paraId="51778E3E" w14:textId="339285A0" w:rsidR="003E1190" w:rsidRPr="00FF4710" w:rsidRDefault="003E1190">
            <w:pPr>
              <w:rPr>
                <w:rFonts w:ascii="Arial" w:hAnsi="Arial" w:cs="Arial"/>
                <w:color w:val="000000"/>
                <w:sz w:val="18"/>
                <w:szCs w:val="18"/>
              </w:rPr>
            </w:pPr>
            <w:r>
              <w:rPr>
                <w:rFonts w:ascii="Arial" w:hAnsi="Arial" w:cs="Arial"/>
                <w:color w:val="000000"/>
                <w:sz w:val="18"/>
                <w:szCs w:val="18"/>
              </w:rPr>
              <w:t>0 days - &lt; 1 year</w:t>
            </w:r>
            <w:r w:rsidR="008F5D5E">
              <w:rPr>
                <w:rFonts w:ascii="Arial" w:hAnsi="Arial" w:cs="Arial"/>
                <w:color w:val="000000"/>
                <w:sz w:val="18"/>
                <w:szCs w:val="18"/>
              </w:rPr>
              <w:t>*</w:t>
            </w:r>
          </w:p>
        </w:tc>
        <w:tc>
          <w:tcPr>
            <w:tcW w:w="0" w:type="auto"/>
            <w:tcBorders>
              <w:top w:val="nil"/>
              <w:left w:val="nil"/>
              <w:bottom w:val="nil"/>
              <w:right w:val="single" w:sz="12" w:space="0" w:color="auto"/>
            </w:tcBorders>
            <w:shd w:val="clear" w:color="auto" w:fill="auto"/>
            <w:noWrap/>
            <w:vAlign w:val="center"/>
            <w:hideMark/>
          </w:tcPr>
          <w:p w14:paraId="7298BC62" w14:textId="366ECA59" w:rsidR="003E1190" w:rsidRPr="00FF4710" w:rsidRDefault="003E1190">
            <w:pPr>
              <w:rPr>
                <w:rFonts w:ascii="Arial" w:hAnsi="Arial" w:cs="Arial"/>
                <w:color w:val="000000"/>
                <w:sz w:val="18"/>
                <w:szCs w:val="18"/>
              </w:rPr>
            </w:pPr>
            <w:r>
              <w:rPr>
                <w:rFonts w:ascii="Arial" w:hAnsi="Arial" w:cs="Arial"/>
                <w:color w:val="000000"/>
                <w:sz w:val="18"/>
                <w:szCs w:val="18"/>
              </w:rPr>
              <w:t>7 – 31 mg/dL</w:t>
            </w:r>
          </w:p>
        </w:tc>
      </w:tr>
      <w:tr w:rsidR="003E1190" w:rsidRPr="00FF4710" w14:paraId="67EE6A40" w14:textId="77777777" w:rsidTr="003E1190">
        <w:trPr>
          <w:trHeight w:val="432"/>
          <w:jc w:val="center"/>
        </w:trPr>
        <w:tc>
          <w:tcPr>
            <w:tcW w:w="0" w:type="auto"/>
            <w:tcBorders>
              <w:top w:val="nil"/>
              <w:left w:val="single" w:sz="12" w:space="0" w:color="auto"/>
              <w:bottom w:val="nil"/>
              <w:right w:val="nil"/>
            </w:tcBorders>
            <w:shd w:val="clear" w:color="auto" w:fill="CAF0E6"/>
            <w:noWrap/>
            <w:vAlign w:val="center"/>
            <w:hideMark/>
          </w:tcPr>
          <w:p w14:paraId="3477DCC3" w14:textId="496E5700" w:rsidR="003E1190" w:rsidRPr="00FF4710" w:rsidRDefault="003E1190">
            <w:pPr>
              <w:rPr>
                <w:rFonts w:ascii="Arial" w:hAnsi="Arial" w:cs="Arial"/>
                <w:color w:val="000000"/>
                <w:sz w:val="18"/>
                <w:szCs w:val="18"/>
              </w:rPr>
            </w:pPr>
            <w:r>
              <w:rPr>
                <w:rFonts w:ascii="Arial" w:hAnsi="Arial" w:cs="Arial"/>
                <w:color w:val="000000"/>
                <w:sz w:val="18"/>
                <w:szCs w:val="18"/>
              </w:rPr>
              <w:t>6 days - &lt; 1 year</w:t>
            </w:r>
          </w:p>
        </w:tc>
        <w:tc>
          <w:tcPr>
            <w:tcW w:w="0" w:type="auto"/>
            <w:tcBorders>
              <w:top w:val="nil"/>
              <w:left w:val="nil"/>
              <w:bottom w:val="nil"/>
              <w:right w:val="single" w:sz="12" w:space="0" w:color="auto"/>
            </w:tcBorders>
            <w:shd w:val="clear" w:color="auto" w:fill="CAF0E6"/>
            <w:noWrap/>
            <w:vAlign w:val="center"/>
            <w:hideMark/>
          </w:tcPr>
          <w:p w14:paraId="755D0079" w14:textId="29648FA0" w:rsidR="003E1190" w:rsidRPr="00FF4710" w:rsidRDefault="003E1190">
            <w:pPr>
              <w:rPr>
                <w:rFonts w:ascii="Arial" w:hAnsi="Arial" w:cs="Arial"/>
                <w:color w:val="000000"/>
                <w:sz w:val="18"/>
                <w:szCs w:val="18"/>
              </w:rPr>
            </w:pPr>
            <w:r>
              <w:rPr>
                <w:rFonts w:ascii="Arial" w:hAnsi="Arial" w:cs="Arial"/>
                <w:color w:val="000000"/>
                <w:sz w:val="18"/>
                <w:szCs w:val="18"/>
              </w:rPr>
              <w:t>7 – 40 mg/dL</w:t>
            </w:r>
          </w:p>
        </w:tc>
        <w:tc>
          <w:tcPr>
            <w:tcW w:w="1866" w:type="dxa"/>
            <w:tcBorders>
              <w:top w:val="nil"/>
              <w:left w:val="single" w:sz="12" w:space="0" w:color="auto"/>
              <w:bottom w:val="nil"/>
              <w:right w:val="nil"/>
            </w:tcBorders>
            <w:shd w:val="clear" w:color="auto" w:fill="CAF0E6"/>
            <w:noWrap/>
            <w:vAlign w:val="center"/>
            <w:hideMark/>
          </w:tcPr>
          <w:p w14:paraId="644AE704" w14:textId="6D2269FE" w:rsidR="003E1190" w:rsidRPr="00FF4710" w:rsidRDefault="003E1190">
            <w:pPr>
              <w:rPr>
                <w:rFonts w:ascii="Arial" w:hAnsi="Arial" w:cs="Arial"/>
                <w:color w:val="000000"/>
                <w:sz w:val="18"/>
                <w:szCs w:val="18"/>
              </w:rPr>
            </w:pPr>
            <w:r>
              <w:rPr>
                <w:rFonts w:ascii="Arial" w:hAnsi="Arial" w:cs="Arial"/>
                <w:color w:val="000000"/>
                <w:sz w:val="18"/>
                <w:szCs w:val="18"/>
              </w:rPr>
              <w:t>1 year - &lt; 19 years</w:t>
            </w:r>
            <w:r w:rsidR="008F5D5E">
              <w:rPr>
                <w:rFonts w:ascii="Arial" w:hAnsi="Arial" w:cs="Arial"/>
                <w:color w:val="000000"/>
                <w:sz w:val="18"/>
                <w:szCs w:val="18"/>
              </w:rPr>
              <w:t>*</w:t>
            </w:r>
          </w:p>
        </w:tc>
        <w:tc>
          <w:tcPr>
            <w:tcW w:w="0" w:type="auto"/>
            <w:tcBorders>
              <w:top w:val="nil"/>
              <w:left w:val="nil"/>
              <w:bottom w:val="nil"/>
              <w:right w:val="single" w:sz="12" w:space="0" w:color="auto"/>
            </w:tcBorders>
            <w:shd w:val="clear" w:color="auto" w:fill="CAF0E6"/>
            <w:noWrap/>
            <w:vAlign w:val="center"/>
            <w:hideMark/>
          </w:tcPr>
          <w:p w14:paraId="288D699C" w14:textId="3A6DFBB4" w:rsidR="003E1190" w:rsidRPr="00FF4710" w:rsidRDefault="003E1190">
            <w:pPr>
              <w:rPr>
                <w:rFonts w:ascii="Arial" w:hAnsi="Arial" w:cs="Arial"/>
                <w:color w:val="000000"/>
                <w:sz w:val="18"/>
                <w:szCs w:val="18"/>
              </w:rPr>
            </w:pPr>
            <w:r>
              <w:rPr>
                <w:rFonts w:ascii="Arial" w:hAnsi="Arial" w:cs="Arial"/>
                <w:color w:val="000000"/>
                <w:sz w:val="18"/>
                <w:szCs w:val="18"/>
              </w:rPr>
              <w:t>13 – 38 mg/dL</w:t>
            </w:r>
          </w:p>
        </w:tc>
      </w:tr>
      <w:tr w:rsidR="003E1190" w:rsidRPr="00FF4710" w14:paraId="65F7E1DE" w14:textId="77777777" w:rsidTr="003E1190">
        <w:trPr>
          <w:trHeight w:val="432"/>
          <w:jc w:val="center"/>
        </w:trPr>
        <w:tc>
          <w:tcPr>
            <w:tcW w:w="0" w:type="auto"/>
            <w:tcBorders>
              <w:top w:val="nil"/>
              <w:left w:val="single" w:sz="12" w:space="0" w:color="auto"/>
              <w:bottom w:val="nil"/>
              <w:right w:val="nil"/>
            </w:tcBorders>
            <w:shd w:val="clear" w:color="auto" w:fill="FFFFFF" w:themeFill="background1"/>
            <w:noWrap/>
            <w:vAlign w:val="center"/>
          </w:tcPr>
          <w:p w14:paraId="54CC25D9" w14:textId="450A56E4" w:rsidR="003E1190" w:rsidRDefault="003E1190">
            <w:pPr>
              <w:rPr>
                <w:rFonts w:ascii="Arial" w:hAnsi="Arial" w:cs="Arial"/>
                <w:color w:val="000000"/>
                <w:sz w:val="18"/>
                <w:szCs w:val="18"/>
              </w:rPr>
            </w:pPr>
            <w:r>
              <w:rPr>
                <w:rFonts w:ascii="Arial" w:hAnsi="Arial" w:cs="Arial"/>
                <w:color w:val="000000"/>
                <w:sz w:val="18"/>
                <w:szCs w:val="18"/>
              </w:rPr>
              <w:t>1 year - &lt; 19 years</w:t>
            </w:r>
          </w:p>
        </w:tc>
        <w:tc>
          <w:tcPr>
            <w:tcW w:w="0" w:type="auto"/>
            <w:tcBorders>
              <w:top w:val="nil"/>
              <w:left w:val="nil"/>
              <w:bottom w:val="nil"/>
              <w:right w:val="single" w:sz="12" w:space="0" w:color="auto"/>
            </w:tcBorders>
            <w:shd w:val="clear" w:color="auto" w:fill="FFFFFF" w:themeFill="background1"/>
            <w:noWrap/>
            <w:vAlign w:val="center"/>
          </w:tcPr>
          <w:p w14:paraId="36D4D298" w14:textId="4BE68574" w:rsidR="003E1190" w:rsidRDefault="003E1190">
            <w:pPr>
              <w:rPr>
                <w:rFonts w:ascii="Arial" w:hAnsi="Arial" w:cs="Arial"/>
                <w:color w:val="000000"/>
                <w:sz w:val="18"/>
                <w:szCs w:val="18"/>
              </w:rPr>
            </w:pPr>
            <w:r>
              <w:rPr>
                <w:rFonts w:ascii="Arial" w:hAnsi="Arial" w:cs="Arial"/>
                <w:color w:val="000000"/>
                <w:sz w:val="18"/>
                <w:szCs w:val="18"/>
              </w:rPr>
              <w:t>8 – 44 mg/dL</w:t>
            </w:r>
          </w:p>
        </w:tc>
        <w:tc>
          <w:tcPr>
            <w:tcW w:w="1866" w:type="dxa"/>
            <w:tcBorders>
              <w:top w:val="nil"/>
              <w:left w:val="single" w:sz="12" w:space="0" w:color="auto"/>
              <w:bottom w:val="nil"/>
              <w:right w:val="nil"/>
            </w:tcBorders>
            <w:shd w:val="clear" w:color="auto" w:fill="FFFFFF" w:themeFill="background1"/>
            <w:noWrap/>
            <w:vAlign w:val="center"/>
          </w:tcPr>
          <w:p w14:paraId="1D9FE61D" w14:textId="77777777" w:rsidR="003E1190" w:rsidRPr="00FF4710" w:rsidRDefault="003E1190">
            <w:pPr>
              <w:rPr>
                <w:rFonts w:ascii="Arial" w:hAnsi="Arial" w:cs="Arial"/>
                <w:color w:val="000000"/>
                <w:sz w:val="18"/>
                <w:szCs w:val="18"/>
              </w:rPr>
            </w:pPr>
          </w:p>
        </w:tc>
        <w:tc>
          <w:tcPr>
            <w:tcW w:w="0" w:type="auto"/>
            <w:tcBorders>
              <w:top w:val="nil"/>
              <w:left w:val="nil"/>
              <w:bottom w:val="nil"/>
              <w:right w:val="single" w:sz="12" w:space="0" w:color="auto"/>
            </w:tcBorders>
            <w:shd w:val="clear" w:color="auto" w:fill="FFFFFF" w:themeFill="background1"/>
            <w:noWrap/>
            <w:vAlign w:val="center"/>
          </w:tcPr>
          <w:p w14:paraId="1A4BB8A9" w14:textId="77777777" w:rsidR="003E1190" w:rsidRPr="00FF4710" w:rsidRDefault="003E1190">
            <w:pPr>
              <w:rPr>
                <w:rFonts w:ascii="Arial" w:hAnsi="Arial" w:cs="Arial"/>
                <w:color w:val="000000"/>
                <w:sz w:val="18"/>
                <w:szCs w:val="18"/>
              </w:rPr>
            </w:pPr>
          </w:p>
        </w:tc>
      </w:tr>
      <w:tr w:rsidR="003E1190" w:rsidRPr="00FF4710" w14:paraId="49C205EB" w14:textId="77777777" w:rsidTr="003E1190">
        <w:trPr>
          <w:trHeight w:val="432"/>
          <w:jc w:val="center"/>
        </w:trPr>
        <w:tc>
          <w:tcPr>
            <w:tcW w:w="0" w:type="auto"/>
            <w:tcBorders>
              <w:top w:val="nil"/>
              <w:left w:val="single" w:sz="12" w:space="0" w:color="auto"/>
              <w:bottom w:val="single" w:sz="12" w:space="0" w:color="auto"/>
              <w:right w:val="nil"/>
            </w:tcBorders>
            <w:shd w:val="clear" w:color="auto" w:fill="CAF0E6"/>
            <w:noWrap/>
            <w:vAlign w:val="center"/>
          </w:tcPr>
          <w:p w14:paraId="57CB78A8" w14:textId="2F603B39" w:rsidR="003E1190" w:rsidRDefault="003E1190">
            <w:pPr>
              <w:rPr>
                <w:rFonts w:ascii="Arial" w:hAnsi="Arial" w:cs="Arial"/>
                <w:color w:val="000000"/>
                <w:sz w:val="18"/>
                <w:szCs w:val="18"/>
              </w:rPr>
            </w:pPr>
            <w:r>
              <w:rPr>
                <w:rFonts w:ascii="Arial" w:hAnsi="Arial" w:cs="Arial"/>
                <w:color w:val="000000"/>
                <w:sz w:val="18"/>
                <w:szCs w:val="18"/>
              </w:rPr>
              <w:t>Adults</w:t>
            </w:r>
          </w:p>
        </w:tc>
        <w:tc>
          <w:tcPr>
            <w:tcW w:w="0" w:type="auto"/>
            <w:tcBorders>
              <w:top w:val="nil"/>
              <w:left w:val="nil"/>
              <w:bottom w:val="single" w:sz="12" w:space="0" w:color="auto"/>
              <w:right w:val="single" w:sz="12" w:space="0" w:color="auto"/>
            </w:tcBorders>
            <w:shd w:val="clear" w:color="auto" w:fill="CAF0E6"/>
            <w:noWrap/>
            <w:vAlign w:val="center"/>
          </w:tcPr>
          <w:p w14:paraId="33E0B38D" w14:textId="096D9518" w:rsidR="003E1190" w:rsidRDefault="003E1190">
            <w:pPr>
              <w:rPr>
                <w:rFonts w:ascii="Arial" w:hAnsi="Arial" w:cs="Arial"/>
                <w:color w:val="000000"/>
                <w:sz w:val="18"/>
                <w:szCs w:val="18"/>
              </w:rPr>
            </w:pPr>
            <w:r>
              <w:rPr>
                <w:rFonts w:ascii="Arial" w:hAnsi="Arial" w:cs="Arial"/>
                <w:color w:val="000000"/>
                <w:sz w:val="18"/>
                <w:szCs w:val="18"/>
              </w:rPr>
              <w:t>10 – 40 mg/dL</w:t>
            </w:r>
          </w:p>
        </w:tc>
        <w:tc>
          <w:tcPr>
            <w:tcW w:w="1866" w:type="dxa"/>
            <w:tcBorders>
              <w:top w:val="nil"/>
              <w:left w:val="single" w:sz="12" w:space="0" w:color="auto"/>
              <w:bottom w:val="single" w:sz="12" w:space="0" w:color="auto"/>
              <w:right w:val="nil"/>
            </w:tcBorders>
            <w:shd w:val="clear" w:color="auto" w:fill="CAF0E6"/>
            <w:noWrap/>
            <w:vAlign w:val="center"/>
          </w:tcPr>
          <w:p w14:paraId="4E54FEFD" w14:textId="7FEAC8B3" w:rsidR="003E1190" w:rsidRPr="00FF4710" w:rsidRDefault="003E1190">
            <w:pPr>
              <w:rPr>
                <w:rFonts w:ascii="Arial" w:hAnsi="Arial" w:cs="Arial"/>
                <w:color w:val="000000"/>
                <w:sz w:val="18"/>
                <w:szCs w:val="18"/>
              </w:rPr>
            </w:pPr>
            <w:r>
              <w:rPr>
                <w:rFonts w:ascii="Arial" w:hAnsi="Arial" w:cs="Arial"/>
                <w:color w:val="000000"/>
                <w:sz w:val="18"/>
                <w:szCs w:val="18"/>
              </w:rPr>
              <w:t>Adults</w:t>
            </w:r>
            <w:r w:rsidR="008F5D5E">
              <w:rPr>
                <w:rFonts w:ascii="Arial" w:hAnsi="Arial" w:cs="Arial"/>
                <w:color w:val="000000"/>
                <w:sz w:val="18"/>
                <w:szCs w:val="18"/>
              </w:rPr>
              <w:t>**</w:t>
            </w:r>
            <w:r>
              <w:rPr>
                <w:rFonts w:ascii="Arial" w:hAnsi="Arial" w:cs="Arial"/>
                <w:color w:val="000000"/>
                <w:sz w:val="18"/>
                <w:szCs w:val="18"/>
              </w:rPr>
              <w:t xml:space="preserve"> </w:t>
            </w:r>
          </w:p>
        </w:tc>
        <w:tc>
          <w:tcPr>
            <w:tcW w:w="0" w:type="auto"/>
            <w:tcBorders>
              <w:top w:val="nil"/>
              <w:left w:val="nil"/>
              <w:bottom w:val="single" w:sz="12" w:space="0" w:color="auto"/>
              <w:right w:val="single" w:sz="12" w:space="0" w:color="auto"/>
            </w:tcBorders>
            <w:shd w:val="clear" w:color="auto" w:fill="CAF0E6"/>
            <w:noWrap/>
            <w:vAlign w:val="center"/>
          </w:tcPr>
          <w:p w14:paraId="2DC716CA" w14:textId="1E074591" w:rsidR="003E1190" w:rsidRPr="00FF4710" w:rsidRDefault="003E1190">
            <w:pPr>
              <w:rPr>
                <w:rFonts w:ascii="Arial" w:hAnsi="Arial" w:cs="Arial"/>
                <w:color w:val="000000"/>
                <w:sz w:val="18"/>
                <w:szCs w:val="18"/>
              </w:rPr>
            </w:pPr>
            <w:r>
              <w:rPr>
                <w:rFonts w:ascii="Arial" w:hAnsi="Arial" w:cs="Arial"/>
                <w:color w:val="000000"/>
                <w:sz w:val="18"/>
                <w:szCs w:val="18"/>
              </w:rPr>
              <w:t>10 – 40 mg/dL</w:t>
            </w:r>
          </w:p>
        </w:tc>
      </w:tr>
    </w:tbl>
    <w:p w14:paraId="06C2655B" w14:textId="77777777" w:rsidR="002566AD" w:rsidRDefault="002566AD" w:rsidP="00F4221E">
      <w:pPr>
        <w:ind w:right="900"/>
        <w:rPr>
          <w:rFonts w:asciiTheme="minorHAnsi" w:hAnsiTheme="minorHAnsi" w:cstheme="minorHAnsi"/>
        </w:rPr>
      </w:pPr>
    </w:p>
    <w:p w14:paraId="71F818F5" w14:textId="1CE81DE5" w:rsidR="002566AD" w:rsidRPr="009C50EF" w:rsidRDefault="008F5D5E" w:rsidP="00F4221E">
      <w:pPr>
        <w:ind w:right="900"/>
        <w:rPr>
          <w:rFonts w:ascii="Arial" w:hAnsi="Arial" w:cs="Arial"/>
        </w:rPr>
      </w:pPr>
      <w:r w:rsidRPr="009C50EF">
        <w:rPr>
          <w:rFonts w:ascii="Arial" w:hAnsi="Arial" w:cs="Arial"/>
        </w:rPr>
        <w:t>*</w:t>
      </w:r>
      <w:r w:rsidR="006F51B1" w:rsidRPr="009C50EF">
        <w:rPr>
          <w:rFonts w:ascii="Arial" w:hAnsi="Arial" w:cs="Arial"/>
        </w:rPr>
        <w:t>Reference intervals are from the Canadian Laboratory Initiative on Pediatric Reference Intervals (Caliper)</w:t>
      </w:r>
    </w:p>
    <w:p w14:paraId="0FCFAC17" w14:textId="04375E18" w:rsidR="006F51B1" w:rsidRPr="009C50EF" w:rsidRDefault="006F51B1" w:rsidP="00F4221E">
      <w:pPr>
        <w:ind w:right="900"/>
        <w:rPr>
          <w:rFonts w:ascii="Arial" w:hAnsi="Arial" w:cs="Arial"/>
        </w:rPr>
      </w:pPr>
      <w:r w:rsidRPr="009C50EF">
        <w:rPr>
          <w:rFonts w:ascii="Arial" w:hAnsi="Arial" w:cs="Arial"/>
        </w:rPr>
        <w:t xml:space="preserve">DOI: </w:t>
      </w:r>
      <w:hyperlink r:id="rId6" w:history="1">
        <w:r w:rsidRPr="009C50EF">
          <w:rPr>
            <w:rStyle w:val="Hyperlink"/>
            <w:rFonts w:ascii="Arial" w:hAnsi="Arial" w:cs="Arial"/>
          </w:rPr>
          <w:t>https://dx.doi.org/10.1016/j.clinbiochem.2015.08.018</w:t>
        </w:r>
      </w:hyperlink>
      <w:r w:rsidRPr="009C50EF">
        <w:rPr>
          <w:rFonts w:ascii="Arial" w:hAnsi="Arial" w:cs="Arial"/>
        </w:rPr>
        <w:t xml:space="preserve"> </w:t>
      </w:r>
    </w:p>
    <w:p w14:paraId="5B217677" w14:textId="7A90D8F3" w:rsidR="006F51B1" w:rsidRPr="009C50EF" w:rsidRDefault="006F51B1" w:rsidP="00F4221E">
      <w:pPr>
        <w:ind w:right="900"/>
        <w:rPr>
          <w:rFonts w:ascii="Arial" w:hAnsi="Arial" w:cs="Arial"/>
        </w:rPr>
      </w:pPr>
      <w:r w:rsidRPr="009C50EF">
        <w:rPr>
          <w:rFonts w:ascii="Arial" w:hAnsi="Arial" w:cs="Arial"/>
        </w:rPr>
        <w:t>** Adult reference intervals are unchanged</w:t>
      </w:r>
    </w:p>
    <w:p w14:paraId="4BAB4913" w14:textId="77777777" w:rsidR="003A1BAB" w:rsidRDefault="003A1BAB" w:rsidP="003A1BAB">
      <w:pPr>
        <w:ind w:right="900"/>
        <w:rPr>
          <w:rFonts w:asciiTheme="minorHAnsi" w:hAnsiTheme="minorHAnsi" w:cstheme="minorHAnsi"/>
        </w:rPr>
      </w:pPr>
    </w:p>
    <w:p w14:paraId="3C263793" w14:textId="314027E9" w:rsidR="008F546F" w:rsidRDefault="00AD1174" w:rsidP="003A1BAB">
      <w:pPr>
        <w:ind w:right="900"/>
        <w:rPr>
          <w:rFonts w:ascii="Arial" w:hAnsi="Arial" w:cs="Arial"/>
          <w:b/>
        </w:rPr>
      </w:pPr>
      <w:r w:rsidRPr="00200D26">
        <w:rPr>
          <w:rFonts w:ascii="Arial" w:hAnsi="Arial" w:cs="Arial"/>
          <w:b/>
        </w:rPr>
        <w:t>F</w:t>
      </w:r>
      <w:r w:rsidR="006C0036" w:rsidRPr="00200D26">
        <w:rPr>
          <w:rFonts w:ascii="Arial" w:hAnsi="Arial" w:cs="Arial"/>
          <w:b/>
        </w:rPr>
        <w:t xml:space="preserve">or </w:t>
      </w:r>
      <w:r w:rsidR="00CB2A4B" w:rsidRPr="00200D26">
        <w:rPr>
          <w:rFonts w:ascii="Arial" w:hAnsi="Arial" w:cs="Arial"/>
          <w:b/>
        </w:rPr>
        <w:t xml:space="preserve">questions </w:t>
      </w:r>
      <w:r w:rsidR="00C14CF3" w:rsidRPr="00200D26">
        <w:rPr>
          <w:rFonts w:ascii="Arial" w:hAnsi="Arial" w:cs="Arial"/>
          <w:b/>
        </w:rPr>
        <w:t xml:space="preserve">or additional </w:t>
      </w:r>
      <w:r w:rsidR="005A1FFE" w:rsidRPr="00200D26">
        <w:rPr>
          <w:rFonts w:ascii="Arial" w:hAnsi="Arial" w:cs="Arial"/>
          <w:b/>
        </w:rPr>
        <w:t>information</w:t>
      </w:r>
      <w:r w:rsidRPr="00200D26">
        <w:rPr>
          <w:rFonts w:ascii="Arial" w:hAnsi="Arial" w:cs="Arial"/>
          <w:b/>
        </w:rPr>
        <w:t>, please contact</w:t>
      </w:r>
      <w:r w:rsidR="002566AD" w:rsidRPr="00200D26">
        <w:rPr>
          <w:rFonts w:ascii="Arial" w:hAnsi="Arial" w:cs="Arial"/>
          <w:b/>
        </w:rPr>
        <w:t>:</w:t>
      </w:r>
    </w:p>
    <w:p w14:paraId="0547EA78" w14:textId="20177079" w:rsidR="002F3219" w:rsidRPr="002F3219" w:rsidRDefault="00000000" w:rsidP="003A1BAB">
      <w:pPr>
        <w:ind w:right="900"/>
        <w:rPr>
          <w:rFonts w:ascii="Arial" w:hAnsi="Arial" w:cs="Arial"/>
          <w:bCs/>
        </w:rPr>
      </w:pPr>
      <w:hyperlink r:id="rId7" w:history="1">
        <w:r w:rsidR="002F3219" w:rsidRPr="001722BE">
          <w:rPr>
            <w:rStyle w:val="Hyperlink"/>
            <w:rFonts w:ascii="Arial" w:hAnsi="Arial" w:cs="Arial"/>
            <w:bCs/>
          </w:rPr>
          <w:t>Mark.a.cervinski@hitchcock.org</w:t>
        </w:r>
      </w:hyperlink>
      <w:r w:rsidR="00046E11">
        <w:rPr>
          <w:rFonts w:ascii="Arial" w:hAnsi="Arial" w:cs="Arial"/>
          <w:bCs/>
        </w:rPr>
        <w:t xml:space="preserve"> or the chemistry director on call (Pager 8139)</w:t>
      </w:r>
    </w:p>
    <w:p w14:paraId="7BAEFE96" w14:textId="66387368" w:rsidR="006C0036" w:rsidRDefault="006C0036" w:rsidP="003A1BAB">
      <w:pPr>
        <w:ind w:right="900"/>
        <w:rPr>
          <w:sz w:val="22"/>
        </w:rPr>
      </w:pPr>
    </w:p>
    <w:p w14:paraId="1EB05AD0" w14:textId="6E98A4F7" w:rsidR="00991DEB" w:rsidRDefault="00991DEB" w:rsidP="003A1BAB">
      <w:pPr>
        <w:ind w:right="900"/>
        <w:rPr>
          <w:sz w:val="22"/>
        </w:rPr>
      </w:pPr>
    </w:p>
    <w:p w14:paraId="70FD9BE7" w14:textId="4C52D6A4" w:rsidR="00991DEB" w:rsidRDefault="00991DEB" w:rsidP="00B71043">
      <w:pPr>
        <w:ind w:left="-90" w:right="900"/>
        <w:rPr>
          <w:sz w:val="22"/>
        </w:rPr>
      </w:pPr>
    </w:p>
    <w:p w14:paraId="210136CF" w14:textId="5060AAEB" w:rsidR="00991DEB" w:rsidRDefault="00991DEB" w:rsidP="003A1BAB">
      <w:pPr>
        <w:ind w:right="900"/>
        <w:rPr>
          <w:sz w:val="22"/>
        </w:rPr>
      </w:pPr>
    </w:p>
    <w:p w14:paraId="2520AE25" w14:textId="77777777" w:rsidR="00991DEB" w:rsidRDefault="00991DEB" w:rsidP="005526F4">
      <w:pPr>
        <w:ind w:right="900"/>
        <w:rPr>
          <w:sz w:val="22"/>
        </w:rPr>
      </w:pPr>
    </w:p>
    <w:sectPr w:rsidR="00991DEB" w:rsidSect="00432280">
      <w:headerReference w:type="default" r:id="rId8"/>
      <w:footerReference w:type="even" r:id="rId9"/>
      <w:footerReference w:type="default" r:id="rId10"/>
      <w:headerReference w:type="first" r:id="rId11"/>
      <w:pgSz w:w="12240" w:h="15840"/>
      <w:pgMar w:top="1663" w:right="270" w:bottom="0" w:left="450"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5E3B3" w14:textId="77777777" w:rsidR="004B2A41" w:rsidRDefault="004B2A41">
      <w:r>
        <w:separator/>
      </w:r>
    </w:p>
  </w:endnote>
  <w:endnote w:type="continuationSeparator" w:id="0">
    <w:p w14:paraId="3B1FFD07" w14:textId="77777777" w:rsidR="004B2A41" w:rsidRDefault="004B2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embedBold r:id="rId1" w:subsetted="1" w:fontKey="{8C9AFDB1-CDA5-40FF-B1CF-4C92EF79EA7C}"/>
  </w:font>
  <w:font w:name="Arial">
    <w:panose1 w:val="020B0604020202020204"/>
    <w:charset w:val="00"/>
    <w:family w:val="swiss"/>
    <w:pitch w:val="variable"/>
    <w:sig w:usb0="E0002EFF" w:usb1="C000785B" w:usb2="00000009" w:usb3="00000000" w:csb0="000001FF" w:csb1="00000000"/>
    <w:embedRegular r:id="rId2" w:fontKey="{7E9126F2-1B78-4511-BFD8-240C19AC05AA}"/>
    <w:embedBold r:id="rId3" w:fontKey="{9D4ABCBB-C97C-43D1-8062-EFB5F0E29B10}"/>
  </w:font>
  <w:font w:name="Futura Std Light">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17" name="Picture 17"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008D1" w14:textId="77777777" w:rsidR="004B2A41" w:rsidRDefault="004B2A41">
      <w:r>
        <w:separator/>
      </w:r>
    </w:p>
  </w:footnote>
  <w:footnote w:type="continuationSeparator" w:id="0">
    <w:p w14:paraId="2E70D484" w14:textId="77777777" w:rsidR="004B2A41" w:rsidRDefault="004B2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E9D"/>
    <w:rsid w:val="00007432"/>
    <w:rsid w:val="000232E8"/>
    <w:rsid w:val="00036876"/>
    <w:rsid w:val="00046E11"/>
    <w:rsid w:val="00063639"/>
    <w:rsid w:val="00064FDE"/>
    <w:rsid w:val="00084704"/>
    <w:rsid w:val="000873D7"/>
    <w:rsid w:val="00094592"/>
    <w:rsid w:val="000E6B26"/>
    <w:rsid w:val="000F355B"/>
    <w:rsid w:val="00107DBC"/>
    <w:rsid w:val="0013795B"/>
    <w:rsid w:val="00142BD8"/>
    <w:rsid w:val="00156053"/>
    <w:rsid w:val="001604B6"/>
    <w:rsid w:val="001656A4"/>
    <w:rsid w:val="0019423C"/>
    <w:rsid w:val="001979A1"/>
    <w:rsid w:val="001A00B1"/>
    <w:rsid w:val="001A7DCC"/>
    <w:rsid w:val="001B562B"/>
    <w:rsid w:val="001B64E6"/>
    <w:rsid w:val="001D21A4"/>
    <w:rsid w:val="001F2B06"/>
    <w:rsid w:val="00200D26"/>
    <w:rsid w:val="002017EA"/>
    <w:rsid w:val="00213D39"/>
    <w:rsid w:val="00240055"/>
    <w:rsid w:val="00240882"/>
    <w:rsid w:val="0024090C"/>
    <w:rsid w:val="00252539"/>
    <w:rsid w:val="002566AD"/>
    <w:rsid w:val="00271C8C"/>
    <w:rsid w:val="00277920"/>
    <w:rsid w:val="002A3B3F"/>
    <w:rsid w:val="002E4271"/>
    <w:rsid w:val="002F3219"/>
    <w:rsid w:val="00316FAE"/>
    <w:rsid w:val="00330888"/>
    <w:rsid w:val="003A1BAB"/>
    <w:rsid w:val="003C102F"/>
    <w:rsid w:val="003C587E"/>
    <w:rsid w:val="003D0F09"/>
    <w:rsid w:val="003E1190"/>
    <w:rsid w:val="003E573E"/>
    <w:rsid w:val="00432280"/>
    <w:rsid w:val="00437772"/>
    <w:rsid w:val="00442490"/>
    <w:rsid w:val="004429A3"/>
    <w:rsid w:val="004530EB"/>
    <w:rsid w:val="00476A7A"/>
    <w:rsid w:val="004B2A41"/>
    <w:rsid w:val="004C6B07"/>
    <w:rsid w:val="004E1A02"/>
    <w:rsid w:val="005061FF"/>
    <w:rsid w:val="00531357"/>
    <w:rsid w:val="00531BF8"/>
    <w:rsid w:val="005526F4"/>
    <w:rsid w:val="00560B90"/>
    <w:rsid w:val="00561CF7"/>
    <w:rsid w:val="005A1FFE"/>
    <w:rsid w:val="005A604E"/>
    <w:rsid w:val="005C5C49"/>
    <w:rsid w:val="005D78F5"/>
    <w:rsid w:val="00616F93"/>
    <w:rsid w:val="006468FD"/>
    <w:rsid w:val="0066506C"/>
    <w:rsid w:val="00670B1F"/>
    <w:rsid w:val="00673F32"/>
    <w:rsid w:val="00683AF9"/>
    <w:rsid w:val="006859AD"/>
    <w:rsid w:val="00686D4F"/>
    <w:rsid w:val="006B1DF1"/>
    <w:rsid w:val="006C0036"/>
    <w:rsid w:val="006C4FB0"/>
    <w:rsid w:val="006D2C64"/>
    <w:rsid w:val="006E1377"/>
    <w:rsid w:val="006E65AC"/>
    <w:rsid w:val="006F51B1"/>
    <w:rsid w:val="007065DB"/>
    <w:rsid w:val="0072180D"/>
    <w:rsid w:val="00765A72"/>
    <w:rsid w:val="00784879"/>
    <w:rsid w:val="007908A3"/>
    <w:rsid w:val="007A2D15"/>
    <w:rsid w:val="007B192D"/>
    <w:rsid w:val="007F3F89"/>
    <w:rsid w:val="00815954"/>
    <w:rsid w:val="00861042"/>
    <w:rsid w:val="00865C81"/>
    <w:rsid w:val="0088413E"/>
    <w:rsid w:val="008A45D5"/>
    <w:rsid w:val="008E1882"/>
    <w:rsid w:val="008F546F"/>
    <w:rsid w:val="008F5D5E"/>
    <w:rsid w:val="00903430"/>
    <w:rsid w:val="00921C70"/>
    <w:rsid w:val="009278CC"/>
    <w:rsid w:val="009350CF"/>
    <w:rsid w:val="00946EF2"/>
    <w:rsid w:val="009514BF"/>
    <w:rsid w:val="00954FD0"/>
    <w:rsid w:val="00973002"/>
    <w:rsid w:val="00973E8C"/>
    <w:rsid w:val="00991DEB"/>
    <w:rsid w:val="009A2EF4"/>
    <w:rsid w:val="009C50EF"/>
    <w:rsid w:val="009D2F30"/>
    <w:rsid w:val="009D5C9D"/>
    <w:rsid w:val="009E4EB2"/>
    <w:rsid w:val="00A05A18"/>
    <w:rsid w:val="00A061F5"/>
    <w:rsid w:val="00A21B12"/>
    <w:rsid w:val="00A241C5"/>
    <w:rsid w:val="00A36A94"/>
    <w:rsid w:val="00A462CF"/>
    <w:rsid w:val="00A54067"/>
    <w:rsid w:val="00A6169A"/>
    <w:rsid w:val="00A71416"/>
    <w:rsid w:val="00AB1F55"/>
    <w:rsid w:val="00AC3E86"/>
    <w:rsid w:val="00AC76FF"/>
    <w:rsid w:val="00AD1174"/>
    <w:rsid w:val="00AD5808"/>
    <w:rsid w:val="00AF750B"/>
    <w:rsid w:val="00B04F3C"/>
    <w:rsid w:val="00B2181C"/>
    <w:rsid w:val="00B24ABF"/>
    <w:rsid w:val="00B35983"/>
    <w:rsid w:val="00B56BE5"/>
    <w:rsid w:val="00B617E7"/>
    <w:rsid w:val="00B622D0"/>
    <w:rsid w:val="00B62C24"/>
    <w:rsid w:val="00B71043"/>
    <w:rsid w:val="00B7412B"/>
    <w:rsid w:val="00C14CF3"/>
    <w:rsid w:val="00C1772C"/>
    <w:rsid w:val="00C80E87"/>
    <w:rsid w:val="00C83214"/>
    <w:rsid w:val="00CA3D80"/>
    <w:rsid w:val="00CA5218"/>
    <w:rsid w:val="00CB192E"/>
    <w:rsid w:val="00CB2A4B"/>
    <w:rsid w:val="00CD7CA1"/>
    <w:rsid w:val="00D27125"/>
    <w:rsid w:val="00D272D9"/>
    <w:rsid w:val="00D40564"/>
    <w:rsid w:val="00D40CF8"/>
    <w:rsid w:val="00D43B28"/>
    <w:rsid w:val="00D513CB"/>
    <w:rsid w:val="00D60396"/>
    <w:rsid w:val="00DA207C"/>
    <w:rsid w:val="00DB3AB4"/>
    <w:rsid w:val="00DD50CF"/>
    <w:rsid w:val="00DD5E9D"/>
    <w:rsid w:val="00DE26CE"/>
    <w:rsid w:val="00DF0982"/>
    <w:rsid w:val="00E12299"/>
    <w:rsid w:val="00E4275F"/>
    <w:rsid w:val="00E642EA"/>
    <w:rsid w:val="00E80E49"/>
    <w:rsid w:val="00E81988"/>
    <w:rsid w:val="00E83583"/>
    <w:rsid w:val="00EA7D55"/>
    <w:rsid w:val="00ED379A"/>
    <w:rsid w:val="00ED7287"/>
    <w:rsid w:val="00EF6FC4"/>
    <w:rsid w:val="00EF72A8"/>
    <w:rsid w:val="00F05A80"/>
    <w:rsid w:val="00F3083B"/>
    <w:rsid w:val="00F4221E"/>
    <w:rsid w:val="00F70B31"/>
    <w:rsid w:val="00F7358E"/>
    <w:rsid w:val="00F854F1"/>
    <w:rsid w:val="00F90027"/>
    <w:rsid w:val="00FC5C8F"/>
    <w:rsid w:val="00FF471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 w:type="character" w:styleId="UnresolvedMention">
    <w:name w:val="Unresolved Mention"/>
    <w:basedOn w:val="DefaultParagraphFont"/>
    <w:uiPriority w:val="99"/>
    <w:semiHidden/>
    <w:unhideWhenUsed/>
    <w:rsid w:val="00B71043"/>
    <w:rPr>
      <w:color w:val="605E5C"/>
      <w:shd w:val="clear" w:color="auto" w:fill="E1DFDD"/>
    </w:rPr>
  </w:style>
  <w:style w:type="character" w:customStyle="1" w:styleId="allowtextselection">
    <w:name w:val="allowtextselection"/>
    <w:basedOn w:val="DefaultParagraphFont"/>
    <w:rsid w:val="00432280"/>
  </w:style>
  <w:style w:type="paragraph" w:styleId="Revision">
    <w:name w:val="Revision"/>
    <w:hidden/>
    <w:uiPriority w:val="71"/>
    <w:semiHidden/>
    <w:rsid w:val="007F3F8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737181">
      <w:bodyDiv w:val="1"/>
      <w:marLeft w:val="0"/>
      <w:marRight w:val="0"/>
      <w:marTop w:val="0"/>
      <w:marBottom w:val="0"/>
      <w:divBdr>
        <w:top w:val="none" w:sz="0" w:space="0" w:color="auto"/>
        <w:left w:val="none" w:sz="0" w:space="0" w:color="auto"/>
        <w:bottom w:val="none" w:sz="0" w:space="0" w:color="auto"/>
        <w:right w:val="none" w:sz="0" w:space="0" w:color="auto"/>
      </w:divBdr>
    </w:div>
    <w:div w:id="416094251">
      <w:bodyDiv w:val="1"/>
      <w:marLeft w:val="0"/>
      <w:marRight w:val="0"/>
      <w:marTop w:val="0"/>
      <w:marBottom w:val="0"/>
      <w:divBdr>
        <w:top w:val="none" w:sz="0" w:space="0" w:color="auto"/>
        <w:left w:val="none" w:sz="0" w:space="0" w:color="auto"/>
        <w:bottom w:val="none" w:sz="0" w:space="0" w:color="auto"/>
        <w:right w:val="none" w:sz="0" w:space="0" w:color="auto"/>
      </w:divBdr>
    </w:div>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965819260">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1819224916">
      <w:bodyDiv w:val="1"/>
      <w:marLeft w:val="0"/>
      <w:marRight w:val="0"/>
      <w:marTop w:val="0"/>
      <w:marBottom w:val="0"/>
      <w:divBdr>
        <w:top w:val="none" w:sz="0" w:space="0" w:color="auto"/>
        <w:left w:val="none" w:sz="0" w:space="0" w:color="auto"/>
        <w:bottom w:val="none" w:sz="0" w:space="0" w:color="auto"/>
        <w:right w:val="none" w:sz="0" w:space="0" w:color="auto"/>
      </w:divBdr>
    </w:div>
    <w:div w:id="1820461050">
      <w:bodyDiv w:val="1"/>
      <w:marLeft w:val="0"/>
      <w:marRight w:val="0"/>
      <w:marTop w:val="0"/>
      <w:marBottom w:val="0"/>
      <w:divBdr>
        <w:top w:val="none" w:sz="0" w:space="0" w:color="auto"/>
        <w:left w:val="none" w:sz="0" w:space="0" w:color="auto"/>
        <w:bottom w:val="none" w:sz="0" w:space="0" w:color="auto"/>
        <w:right w:val="none" w:sz="0" w:space="0" w:color="auto"/>
      </w:divBdr>
    </w:div>
    <w:div w:id="1994328981">
      <w:bodyDiv w:val="1"/>
      <w:marLeft w:val="0"/>
      <w:marRight w:val="0"/>
      <w:marTop w:val="0"/>
      <w:marBottom w:val="0"/>
      <w:divBdr>
        <w:top w:val="none" w:sz="0" w:space="0" w:color="auto"/>
        <w:left w:val="none" w:sz="0" w:space="0" w:color="auto"/>
        <w:bottom w:val="none" w:sz="0" w:space="0" w:color="auto"/>
        <w:right w:val="none" w:sz="0" w:space="0" w:color="auto"/>
      </w:divBdr>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Mark.a.cervinski@hitchcock.or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x.doi.org/10.1016/j.clinbiochem.2015.08.018"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301</Words>
  <Characters>1718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Paula W. Martell</cp:lastModifiedBy>
  <cp:revision>12</cp:revision>
  <cp:lastPrinted>2021-05-27T16:36:00Z</cp:lastPrinted>
  <dcterms:created xsi:type="dcterms:W3CDTF">2025-11-13T21:51:00Z</dcterms:created>
  <dcterms:modified xsi:type="dcterms:W3CDTF">2025-11-17T18:07:00Z</dcterms:modified>
</cp:coreProperties>
</file>