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C667C" w14:textId="3132056F" w:rsidR="003A1BAB" w:rsidRDefault="003A1BAB" w:rsidP="00316FAE">
      <w:pPr>
        <w:rPr>
          <w:rFonts w:ascii="Calibri" w:eastAsia="Calibri" w:hAnsi="Calibri"/>
          <w:b/>
        </w:rPr>
      </w:pPr>
    </w:p>
    <w:p w14:paraId="7E909DC5" w14:textId="41778B98" w:rsidR="00B71043" w:rsidRDefault="00F70B31" w:rsidP="00DD1CD1">
      <w:pPr>
        <w:tabs>
          <w:tab w:val="left" w:pos="810"/>
        </w:tabs>
        <w:rPr>
          <w:rFonts w:ascii="Arial" w:hAnsi="Arial" w:cs="Arial"/>
          <w:b/>
          <w:bCs/>
        </w:rPr>
      </w:pPr>
      <w:bookmarkStart w:id="0" w:name="_Hlk230167633"/>
      <w:r w:rsidRPr="00200D26">
        <w:rPr>
          <w:rFonts w:ascii="Arial" w:hAnsi="Arial" w:cs="Arial"/>
          <w:b/>
          <w:bCs/>
        </w:rPr>
        <w:t>T</w:t>
      </w:r>
      <w:r w:rsidR="00DD50CF">
        <w:rPr>
          <w:rFonts w:ascii="Arial" w:hAnsi="Arial" w:cs="Arial"/>
          <w:b/>
          <w:bCs/>
        </w:rPr>
        <w:t>o</w:t>
      </w:r>
      <w:r w:rsidRPr="00200D26">
        <w:rPr>
          <w:rFonts w:ascii="Arial" w:hAnsi="Arial" w:cs="Arial"/>
          <w:b/>
          <w:bCs/>
        </w:rPr>
        <w:t xml:space="preserve">: </w:t>
      </w:r>
      <w:r w:rsidR="00DD1CD1">
        <w:rPr>
          <w:rFonts w:ascii="Arial" w:hAnsi="Arial" w:cs="Arial"/>
          <w:b/>
          <w:bCs/>
        </w:rPr>
        <w:tab/>
      </w:r>
      <w:r w:rsidR="003119D6">
        <w:rPr>
          <w:rFonts w:ascii="Arial" w:hAnsi="Arial" w:cs="Arial"/>
          <w:b/>
          <w:bCs/>
        </w:rPr>
        <w:t xml:space="preserve"> </w:t>
      </w:r>
      <w:r w:rsidR="0033507E" w:rsidRPr="007C40D1">
        <w:rPr>
          <w:rFonts w:ascii="Arial" w:hAnsi="Arial" w:cs="Arial"/>
        </w:rPr>
        <w:t xml:space="preserve">All </w:t>
      </w:r>
      <w:r w:rsidR="0081548A" w:rsidRPr="007C40D1">
        <w:rPr>
          <w:rFonts w:ascii="Arial" w:hAnsi="Arial" w:cs="Arial"/>
        </w:rPr>
        <w:t>Dartmouth Health Providers</w:t>
      </w:r>
    </w:p>
    <w:p w14:paraId="4E291313" w14:textId="03BCD6FF" w:rsidR="00F70B31" w:rsidRPr="00200D26" w:rsidRDefault="00F70B31" w:rsidP="00F70B31">
      <w:pPr>
        <w:tabs>
          <w:tab w:val="left" w:pos="990"/>
        </w:tabs>
        <w:rPr>
          <w:rFonts w:ascii="Arial" w:hAnsi="Arial" w:cs="Arial"/>
          <w:b/>
          <w:bCs/>
          <w:sz w:val="22"/>
          <w:szCs w:val="22"/>
        </w:rPr>
      </w:pPr>
      <w:r w:rsidRPr="00200D26">
        <w:rPr>
          <w:rFonts w:ascii="Arial" w:hAnsi="Arial" w:cs="Arial"/>
          <w:b/>
          <w:bCs/>
        </w:rPr>
        <w:t xml:space="preserve">       </w:t>
      </w:r>
    </w:p>
    <w:p w14:paraId="18CDA4AF" w14:textId="1B5B03F1" w:rsidR="00F70B31" w:rsidRPr="00200D26" w:rsidRDefault="00F70B31" w:rsidP="00F70B31">
      <w:pPr>
        <w:outlineLvl w:val="0"/>
        <w:rPr>
          <w:rFonts w:ascii="Arial" w:hAnsi="Arial" w:cs="Arial"/>
          <w:b/>
          <w:bCs/>
        </w:rPr>
      </w:pPr>
      <w:r w:rsidRPr="00200D26">
        <w:rPr>
          <w:rFonts w:ascii="Arial" w:hAnsi="Arial" w:cs="Arial"/>
          <w:b/>
          <w:bCs/>
        </w:rPr>
        <w:t>F</w:t>
      </w:r>
      <w:r w:rsidR="00DD50CF">
        <w:rPr>
          <w:rFonts w:ascii="Arial" w:hAnsi="Arial" w:cs="Arial"/>
          <w:b/>
          <w:bCs/>
        </w:rPr>
        <w:t>rom</w:t>
      </w:r>
      <w:r w:rsidRPr="00200D26">
        <w:rPr>
          <w:rFonts w:ascii="Arial" w:hAnsi="Arial" w:cs="Arial"/>
          <w:b/>
          <w:bCs/>
        </w:rPr>
        <w:t xml:space="preserve">:  </w:t>
      </w:r>
      <w:r w:rsidR="003119D6">
        <w:rPr>
          <w:rFonts w:ascii="Arial" w:hAnsi="Arial" w:cs="Arial"/>
          <w:b/>
          <w:bCs/>
        </w:rPr>
        <w:t xml:space="preserve"> </w:t>
      </w:r>
      <w:r w:rsidR="007C40D1" w:rsidRPr="007C40D1">
        <w:rPr>
          <w:rFonts w:ascii="Arial" w:hAnsi="Arial" w:cs="Arial"/>
        </w:rPr>
        <w:t xml:space="preserve">Carol (Xiaoying) Liu, </w:t>
      </w:r>
      <w:r w:rsidR="007A7BDC" w:rsidRPr="007A7BDC">
        <w:rPr>
          <w:rFonts w:ascii="Arial" w:hAnsi="Arial" w:cs="Arial"/>
        </w:rPr>
        <w:t xml:space="preserve">Joel Lefferts, </w:t>
      </w:r>
      <w:r w:rsidR="007C40D1" w:rsidRPr="007C40D1">
        <w:rPr>
          <w:rFonts w:ascii="Arial" w:hAnsi="Arial" w:cs="Arial"/>
        </w:rPr>
        <w:t>Megan Bo</w:t>
      </w:r>
      <w:r w:rsidR="00B323DD">
        <w:rPr>
          <w:rFonts w:ascii="Arial" w:hAnsi="Arial" w:cs="Arial"/>
        </w:rPr>
        <w:t>i</w:t>
      </w:r>
      <w:r w:rsidR="007C40D1" w:rsidRPr="007C40D1">
        <w:rPr>
          <w:rFonts w:ascii="Arial" w:hAnsi="Arial" w:cs="Arial"/>
        </w:rPr>
        <w:t>vin, Samantha Allen</w:t>
      </w:r>
      <w:r w:rsidRPr="00200D26">
        <w:rPr>
          <w:rFonts w:ascii="Arial" w:hAnsi="Arial" w:cs="Arial"/>
          <w:b/>
          <w:bCs/>
        </w:rPr>
        <w:t xml:space="preserve"> </w:t>
      </w:r>
    </w:p>
    <w:p w14:paraId="24338CD1" w14:textId="5B4EBF2D" w:rsidR="00F70B31" w:rsidRPr="00200D26" w:rsidRDefault="00F70B31" w:rsidP="00F70B31">
      <w:pPr>
        <w:rPr>
          <w:rFonts w:ascii="Arial" w:hAnsi="Arial" w:cs="Arial"/>
          <w:b/>
          <w:bCs/>
        </w:rPr>
      </w:pPr>
      <w:r w:rsidRPr="00200D26">
        <w:rPr>
          <w:rFonts w:ascii="Arial" w:hAnsi="Arial" w:cs="Arial"/>
          <w:b/>
          <w:bCs/>
        </w:rPr>
        <w:t xml:space="preserve">                </w:t>
      </w:r>
    </w:p>
    <w:p w14:paraId="0E33DFBC" w14:textId="39BBA31A" w:rsidR="00B71043" w:rsidRDefault="00F70B31" w:rsidP="00F70B31">
      <w:pPr>
        <w:rPr>
          <w:rFonts w:ascii="Arial" w:hAnsi="Arial" w:cs="Arial"/>
          <w:b/>
          <w:bCs/>
        </w:rPr>
      </w:pPr>
      <w:r w:rsidRPr="00200D26">
        <w:rPr>
          <w:rFonts w:ascii="Arial" w:hAnsi="Arial" w:cs="Arial"/>
          <w:b/>
          <w:bCs/>
        </w:rPr>
        <w:t>Date:</w:t>
      </w:r>
      <w:r w:rsidR="007C40D1">
        <w:rPr>
          <w:rFonts w:ascii="Arial" w:hAnsi="Arial" w:cs="Arial"/>
          <w:b/>
          <w:bCs/>
        </w:rPr>
        <w:t xml:space="preserve">   </w:t>
      </w:r>
      <w:r w:rsidR="003119D6">
        <w:rPr>
          <w:rFonts w:ascii="Arial" w:hAnsi="Arial" w:cs="Arial"/>
          <w:b/>
          <w:bCs/>
        </w:rPr>
        <w:t xml:space="preserve"> </w:t>
      </w:r>
      <w:r w:rsidR="007C40D1" w:rsidRPr="007C40D1">
        <w:rPr>
          <w:rFonts w:ascii="Arial" w:hAnsi="Arial" w:cs="Arial"/>
        </w:rPr>
        <w:t>May 20, 2026</w:t>
      </w:r>
    </w:p>
    <w:p w14:paraId="68ADED17" w14:textId="0D01840F" w:rsidR="00F70B31" w:rsidRPr="00200D26" w:rsidRDefault="00F70B31" w:rsidP="00F70B31">
      <w:pPr>
        <w:rPr>
          <w:rFonts w:ascii="Arial" w:hAnsi="Arial" w:cs="Arial"/>
          <w:b/>
          <w:bCs/>
        </w:rPr>
      </w:pPr>
      <w:r w:rsidRPr="00200D26">
        <w:rPr>
          <w:rFonts w:ascii="Arial" w:hAnsi="Arial" w:cs="Arial"/>
          <w:b/>
          <w:bCs/>
        </w:rPr>
        <w:t xml:space="preserve">      </w:t>
      </w:r>
    </w:p>
    <w:p w14:paraId="0C9A6460" w14:textId="22330BDE" w:rsidR="007C40D1" w:rsidRPr="00193EAD" w:rsidRDefault="00F70B31" w:rsidP="007C40D1">
      <w:pPr>
        <w:rPr>
          <w:b/>
          <w:bCs/>
          <w:sz w:val="28"/>
          <w:szCs w:val="28"/>
        </w:rPr>
      </w:pPr>
      <w:r w:rsidRPr="00200D26">
        <w:rPr>
          <w:rFonts w:ascii="Arial" w:hAnsi="Arial" w:cs="Arial"/>
          <w:b/>
          <w:bCs/>
        </w:rPr>
        <w:t>Re:</w:t>
      </w:r>
      <w:r>
        <w:rPr>
          <w:b/>
          <w:bCs/>
        </w:rPr>
        <w:t xml:space="preserve">  </w:t>
      </w:r>
      <w:r w:rsidR="007C40D1">
        <w:rPr>
          <w:b/>
          <w:bCs/>
        </w:rPr>
        <w:t xml:space="preserve">     </w:t>
      </w:r>
      <w:r w:rsidR="003119D6">
        <w:rPr>
          <w:b/>
          <w:bCs/>
        </w:rPr>
        <w:t xml:space="preserve"> </w:t>
      </w:r>
      <w:r w:rsidR="007C40D1" w:rsidRPr="007C40D1">
        <w:rPr>
          <w:rFonts w:ascii="Arial" w:hAnsi="Arial" w:cs="Arial"/>
        </w:rPr>
        <w:t>Introduction of Primary HPV Testing Option</w:t>
      </w:r>
    </w:p>
    <w:p w14:paraId="478518B0" w14:textId="5AD84C7D" w:rsidR="00F70B31" w:rsidRDefault="00F70B31" w:rsidP="00F70B31">
      <w:pPr>
        <w:rPr>
          <w:b/>
          <w:bCs/>
        </w:rPr>
      </w:pPr>
      <w:r>
        <w:rPr>
          <w:b/>
          <w:bCs/>
        </w:rPr>
        <w:t xml:space="preserve">        </w:t>
      </w:r>
    </w:p>
    <w:p w14:paraId="1A797559" w14:textId="77777777" w:rsidR="007C40D1" w:rsidRDefault="007C40D1" w:rsidP="007C40D1">
      <w:pPr>
        <w:rPr>
          <w:rFonts w:ascii="Arial" w:hAnsi="Arial" w:cs="Arial"/>
        </w:rPr>
      </w:pPr>
      <w:r w:rsidRPr="007C40D1">
        <w:rPr>
          <w:rFonts w:ascii="Arial" w:hAnsi="Arial" w:cs="Arial"/>
          <w:b/>
          <w:bCs/>
        </w:rPr>
        <w:t>SITUATION</w:t>
      </w:r>
      <w:r w:rsidRPr="007C40D1">
        <w:rPr>
          <w:rFonts w:ascii="Arial" w:hAnsi="Arial" w:cs="Arial"/>
        </w:rPr>
        <w:t xml:space="preserve"> Effective June 1, 2026, Dartmouth Health is introducing Primary HPV testing as a new option for cervical cancer screening (clinician-collected specimen only).  </w:t>
      </w:r>
    </w:p>
    <w:p w14:paraId="1B70BC3D" w14:textId="77777777" w:rsidR="00B323DD" w:rsidRPr="007C40D1" w:rsidRDefault="00B323DD" w:rsidP="007C40D1">
      <w:pPr>
        <w:rPr>
          <w:rFonts w:ascii="Arial" w:hAnsi="Arial" w:cs="Arial"/>
        </w:rPr>
      </w:pPr>
    </w:p>
    <w:p w14:paraId="40979B5E" w14:textId="3E13C323" w:rsidR="007C40D1" w:rsidRDefault="007C40D1" w:rsidP="007C40D1">
      <w:pPr>
        <w:rPr>
          <w:rFonts w:ascii="Arial" w:hAnsi="Arial" w:cs="Arial"/>
        </w:rPr>
      </w:pPr>
      <w:r w:rsidRPr="007C40D1">
        <w:rPr>
          <w:rFonts w:ascii="Arial" w:hAnsi="Arial" w:cs="Arial"/>
          <w:b/>
          <w:bCs/>
        </w:rPr>
        <w:t>BACKGROUND</w:t>
      </w:r>
      <w:r w:rsidRPr="007C40D1">
        <w:rPr>
          <w:rFonts w:ascii="Arial" w:hAnsi="Arial" w:cs="Arial"/>
        </w:rPr>
        <w:t xml:space="preserve"> Based on clinical studies and the availability of HPV tests approved by the FDA for use in Primary HPV screening, multiple professional organizations have issued  recommendations for cervical cancer screening (</w:t>
      </w:r>
      <w:hyperlink r:id="rId7" w:history="1">
        <w:r w:rsidRPr="007C40D1">
          <w:rPr>
            <w:rStyle w:val="Hyperlink"/>
            <w:rFonts w:ascii="Arial" w:hAnsi="Arial" w:cs="Arial"/>
          </w:rPr>
          <w:t>Screening Guidelines - American Society for Colposcopy and Cervical Pathology (ASCCP</w:t>
        </w:r>
        <w:r w:rsidRPr="007C40D1">
          <w:rPr>
            <w:rStyle w:val="Hyperlink"/>
            <w:rFonts w:ascii="Arial" w:hAnsi="Arial" w:cs="Arial"/>
            <w:color w:val="000000" w:themeColor="text1"/>
          </w:rPr>
          <w:t>)</w:t>
        </w:r>
      </w:hyperlink>
      <w:r w:rsidRPr="007C40D1">
        <w:rPr>
          <w:rFonts w:ascii="Arial" w:hAnsi="Arial" w:cs="Arial"/>
        </w:rPr>
        <w:t>. Primary HPV with Reflex To Pap is available as a screening method for clinician-collected cervical Cytology specimens in addition to the testing options currently provided. Primary HPV screening has not been FDA approved for vaginal sources; all current testing option are still available.</w:t>
      </w:r>
    </w:p>
    <w:p w14:paraId="3B39AB48" w14:textId="77777777" w:rsidR="00B323DD" w:rsidRPr="007C40D1" w:rsidRDefault="00B323DD" w:rsidP="007C40D1">
      <w:pPr>
        <w:rPr>
          <w:rFonts w:ascii="Arial" w:hAnsi="Arial" w:cs="Arial"/>
        </w:rPr>
      </w:pPr>
    </w:p>
    <w:p w14:paraId="13303C4B" w14:textId="77777777" w:rsidR="007C40D1" w:rsidRDefault="007C40D1" w:rsidP="007C40D1">
      <w:pPr>
        <w:rPr>
          <w:rFonts w:ascii="Arial" w:hAnsi="Arial" w:cs="Arial"/>
        </w:rPr>
      </w:pPr>
      <w:r w:rsidRPr="007C40D1">
        <w:rPr>
          <w:rFonts w:ascii="Arial" w:hAnsi="Arial" w:cs="Arial"/>
          <w:b/>
          <w:bCs/>
        </w:rPr>
        <w:t>ASSESSMENT</w:t>
      </w:r>
      <w:r w:rsidRPr="007C40D1">
        <w:rPr>
          <w:rFonts w:ascii="Arial" w:hAnsi="Arial" w:cs="Arial"/>
        </w:rPr>
        <w:t xml:space="preserve"> The updated ordering process includes the following components:</w:t>
      </w:r>
    </w:p>
    <w:p w14:paraId="1E89F66A" w14:textId="77777777" w:rsidR="00B323DD" w:rsidRPr="007C40D1" w:rsidRDefault="00B323DD" w:rsidP="007C40D1">
      <w:pPr>
        <w:rPr>
          <w:rFonts w:ascii="Arial" w:hAnsi="Arial" w:cs="Arial"/>
        </w:rPr>
      </w:pPr>
    </w:p>
    <w:p w14:paraId="3C85C63D" w14:textId="77777777" w:rsidR="007C40D1" w:rsidRDefault="007C40D1" w:rsidP="007C40D1">
      <w:r>
        <w:rPr>
          <w:noProof/>
        </w:rPr>
        <mc:AlternateContent>
          <mc:Choice Requires="wps">
            <w:drawing>
              <wp:anchor distT="0" distB="0" distL="114300" distR="114300" simplePos="0" relativeHeight="251659264" behindDoc="0" locked="0" layoutInCell="1" allowOverlap="1" wp14:anchorId="798987B0" wp14:editId="2C275676">
                <wp:simplePos x="0" y="0"/>
                <wp:positionH relativeFrom="column">
                  <wp:posOffset>990600</wp:posOffset>
                </wp:positionH>
                <wp:positionV relativeFrom="paragraph">
                  <wp:posOffset>845185</wp:posOffset>
                </wp:positionV>
                <wp:extent cx="1524000" cy="209550"/>
                <wp:effectExtent l="0" t="0" r="19050" b="19050"/>
                <wp:wrapNone/>
                <wp:docPr id="2" name="Oval 2"/>
                <wp:cNvGraphicFramePr/>
                <a:graphic xmlns:a="http://schemas.openxmlformats.org/drawingml/2006/main">
                  <a:graphicData uri="http://schemas.microsoft.com/office/word/2010/wordprocessingShape">
                    <wps:wsp>
                      <wps:cNvSpPr/>
                      <wps:spPr>
                        <a:xfrm>
                          <a:off x="0" y="0"/>
                          <a:ext cx="1524000" cy="20955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59A8325" id="Oval 2" o:spid="_x0000_s1026" style="position:absolute;margin-left:78pt;margin-top:66.55pt;width:120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" filled="f" strokecolor="red" strokeweight="2pt"/>
            </w:pict>
          </mc:Fallback>
        </mc:AlternateContent>
      </w:r>
      <w:r>
        <w:rPr>
          <w:noProof/>
        </w:rPr>
        <w:drawing>
          <wp:inline distT="0" distB="0" distL="0" distR="0" wp14:anchorId="7C2CB984" wp14:editId="5AD5F630">
            <wp:extent cx="6309360" cy="1078992"/>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9360" cy="1078992"/>
                    </a:xfrm>
                    <a:prstGeom prst="rect">
                      <a:avLst/>
                    </a:prstGeom>
                    <a:noFill/>
                  </pic:spPr>
                </pic:pic>
              </a:graphicData>
            </a:graphic>
          </wp:inline>
        </w:drawing>
      </w:r>
    </w:p>
    <w:p w14:paraId="7312E674" w14:textId="77777777" w:rsidR="007C40D1" w:rsidRPr="00193EAD" w:rsidRDefault="007C40D1" w:rsidP="007C40D1"/>
    <w:p w14:paraId="371FD73E" w14:textId="77777777" w:rsidR="007C40D1" w:rsidRPr="007C40D1" w:rsidRDefault="007C40D1" w:rsidP="007C40D1">
      <w:pPr>
        <w:numPr>
          <w:ilvl w:val="0"/>
          <w:numId w:val="1"/>
        </w:numPr>
        <w:spacing w:after="160" w:line="278" w:lineRule="auto"/>
        <w:rPr>
          <w:rFonts w:ascii="Arial" w:hAnsi="Arial" w:cs="Arial"/>
        </w:rPr>
      </w:pPr>
      <w:r w:rsidRPr="007C40D1">
        <w:rPr>
          <w:rFonts w:ascii="Arial" w:hAnsi="Arial" w:cs="Arial"/>
          <w:b/>
          <w:bCs/>
        </w:rPr>
        <w:t>Order Type:</w:t>
      </w:r>
      <w:r w:rsidRPr="007C40D1">
        <w:rPr>
          <w:rFonts w:ascii="Arial" w:hAnsi="Arial" w:cs="Arial"/>
        </w:rPr>
        <w:t xml:space="preserve"> A consolidated "Cytology GYN" (LAB1914) order is used to access testing options.</w:t>
      </w:r>
      <w:r w:rsidRPr="007C40D1">
        <w:rPr>
          <w:rFonts w:ascii="Arial" w:hAnsi="Arial" w:cs="Arial"/>
          <w:b/>
          <w:bCs/>
        </w:rPr>
        <w:t xml:space="preserve"> </w:t>
      </w:r>
    </w:p>
    <w:p w14:paraId="5B913CF7" w14:textId="77777777" w:rsidR="007C40D1" w:rsidRPr="007C40D1" w:rsidRDefault="007C40D1" w:rsidP="007C40D1">
      <w:pPr>
        <w:numPr>
          <w:ilvl w:val="0"/>
          <w:numId w:val="1"/>
        </w:numPr>
        <w:spacing w:after="160" w:line="278" w:lineRule="auto"/>
        <w:rPr>
          <w:rFonts w:ascii="Arial" w:hAnsi="Arial" w:cs="Arial"/>
        </w:rPr>
      </w:pPr>
      <w:r w:rsidRPr="007C40D1">
        <w:rPr>
          <w:rFonts w:ascii="Arial" w:hAnsi="Arial" w:cs="Arial"/>
          <w:b/>
          <w:bCs/>
        </w:rPr>
        <w:t>Specimen Source:</w:t>
      </w:r>
      <w:r w:rsidRPr="007C40D1">
        <w:rPr>
          <w:rFonts w:ascii="Arial" w:hAnsi="Arial" w:cs="Arial"/>
        </w:rPr>
        <w:t xml:space="preserve"> Providers select the specific source; testing options will be listed after the source is selected. Some testing options will be different depending on FDA-approved sources. </w:t>
      </w:r>
    </w:p>
    <w:p w14:paraId="6DDCA898" w14:textId="77777777" w:rsidR="007C40D1" w:rsidRPr="007C40D1" w:rsidRDefault="007C40D1" w:rsidP="007C40D1">
      <w:pPr>
        <w:numPr>
          <w:ilvl w:val="0"/>
          <w:numId w:val="1"/>
        </w:numPr>
        <w:spacing w:after="160" w:line="278" w:lineRule="auto"/>
        <w:rPr>
          <w:rFonts w:ascii="Arial" w:hAnsi="Arial" w:cs="Arial"/>
        </w:rPr>
      </w:pPr>
      <w:r w:rsidRPr="007C40D1">
        <w:rPr>
          <w:rFonts w:ascii="Arial" w:hAnsi="Arial" w:cs="Arial"/>
          <w:b/>
          <w:bCs/>
        </w:rPr>
        <w:t>Testing Options:</w:t>
      </w:r>
      <w:r w:rsidRPr="007C40D1">
        <w:rPr>
          <w:rFonts w:ascii="Arial" w:hAnsi="Arial" w:cs="Arial"/>
        </w:rPr>
        <w:t xml:space="preserve"> Available selections include: </w:t>
      </w:r>
    </w:p>
    <w:tbl>
      <w:tblPr>
        <w:tblW w:w="10260" w:type="dxa"/>
        <w:tblCellSpacing w:w="15" w:type="dxa"/>
        <w:tblInd w:w="82" w:type="dxa"/>
        <w:tblCellMar>
          <w:left w:w="0" w:type="dxa"/>
          <w:right w:w="0" w:type="dxa"/>
        </w:tblCellMar>
        <w:tblLook w:val="04A0" w:firstRow="1" w:lastRow="0" w:firstColumn="1" w:lastColumn="0" w:noHBand="0" w:noVBand="1"/>
      </w:tblPr>
      <w:tblGrid>
        <w:gridCol w:w="2520"/>
        <w:gridCol w:w="7740"/>
      </w:tblGrid>
      <w:tr w:rsidR="00E16D81" w:rsidRPr="00C73DE0" w14:paraId="7848AB00" w14:textId="77777777" w:rsidTr="00E16D81">
        <w:trPr>
          <w:trHeight w:val="405"/>
          <w:tblHeader/>
          <w:tblCellSpacing w:w="15" w:type="dxa"/>
        </w:trPr>
        <w:tc>
          <w:tcPr>
            <w:tcW w:w="2475" w:type="dxa"/>
            <w:tcBorders>
              <w:top w:val="single" w:sz="6" w:space="0" w:color="auto"/>
              <w:left w:val="single" w:sz="6" w:space="0" w:color="auto"/>
              <w:bottom w:val="single" w:sz="6" w:space="0" w:color="auto"/>
              <w:right w:val="single" w:sz="6" w:space="0" w:color="auto"/>
            </w:tcBorders>
            <w:tcMar>
              <w:top w:w="180" w:type="dxa"/>
              <w:left w:w="0" w:type="dxa"/>
              <w:bottom w:w="240" w:type="dxa"/>
              <w:right w:w="180" w:type="dxa"/>
            </w:tcMar>
            <w:vAlign w:val="center"/>
            <w:hideMark/>
          </w:tcPr>
          <w:p w14:paraId="1BD88A14" w14:textId="632A72D6" w:rsidR="00E16D81" w:rsidRPr="00E16D81" w:rsidRDefault="00E16D81" w:rsidP="00E16D81">
            <w:pPr>
              <w:spacing w:after="120"/>
              <w:rPr>
                <w:rFonts w:ascii="Arial" w:hAnsi="Arial" w:cs="Arial"/>
              </w:rPr>
            </w:pPr>
            <w:r w:rsidRPr="00E16D81">
              <w:rPr>
                <w:rFonts w:ascii="Arial" w:hAnsi="Arial" w:cs="Arial"/>
                <w:b/>
                <w:bCs/>
              </w:rPr>
              <w:t>Testing Name/Choice</w:t>
            </w:r>
          </w:p>
        </w:tc>
        <w:tc>
          <w:tcPr>
            <w:tcW w:w="7695" w:type="dxa"/>
            <w:tcBorders>
              <w:top w:val="single" w:sz="6" w:space="0" w:color="auto"/>
              <w:left w:val="single" w:sz="6" w:space="0" w:color="auto"/>
              <w:bottom w:val="single" w:sz="6" w:space="0" w:color="auto"/>
              <w:right w:val="single" w:sz="6" w:space="0" w:color="auto"/>
            </w:tcBorders>
            <w:tcMar>
              <w:top w:w="180" w:type="dxa"/>
              <w:left w:w="180" w:type="dxa"/>
              <w:bottom w:w="240" w:type="dxa"/>
              <w:right w:w="0" w:type="dxa"/>
            </w:tcMar>
            <w:vAlign w:val="center"/>
            <w:hideMark/>
          </w:tcPr>
          <w:p w14:paraId="5D35E96C" w14:textId="65A04920" w:rsidR="00E16D81" w:rsidRPr="00E16D81" w:rsidRDefault="00E16D81" w:rsidP="00E16D81">
            <w:pPr>
              <w:rPr>
                <w:rFonts w:ascii="Arial" w:hAnsi="Arial" w:cs="Arial"/>
              </w:rPr>
            </w:pPr>
            <w:r w:rsidRPr="00E16D81">
              <w:rPr>
                <w:rFonts w:ascii="Arial" w:hAnsi="Arial" w:cs="Arial"/>
                <w:b/>
                <w:bCs/>
              </w:rPr>
              <w:t>Implication</w:t>
            </w:r>
          </w:p>
        </w:tc>
      </w:tr>
      <w:tr w:rsidR="00E16D81" w:rsidRPr="00C73DE0" w14:paraId="4E0A8187" w14:textId="77777777" w:rsidTr="00E16D81">
        <w:trPr>
          <w:trHeight w:val="657"/>
          <w:tblCellSpacing w:w="15" w:type="dxa"/>
        </w:trPr>
        <w:tc>
          <w:tcPr>
            <w:tcW w:w="2475"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6D505E1" w14:textId="2C10ABDD" w:rsidR="00E16D81" w:rsidRPr="00E16D81" w:rsidRDefault="00E16D81" w:rsidP="00E16D81">
            <w:pPr>
              <w:rPr>
                <w:rFonts w:ascii="Arial" w:hAnsi="Arial" w:cs="Arial"/>
              </w:rPr>
            </w:pPr>
            <w:r w:rsidRPr="00E16D81">
              <w:rPr>
                <w:rFonts w:ascii="Arial" w:hAnsi="Arial" w:cs="Arial"/>
                <w:b/>
                <w:bCs/>
              </w:rPr>
              <w:t>Primary HPV with Reflex to Pap</w:t>
            </w:r>
          </w:p>
        </w:tc>
        <w:tc>
          <w:tcPr>
            <w:tcW w:w="7695"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054F4B5A" w14:textId="45CDE7A1" w:rsidR="00E16D81" w:rsidRPr="00E16D81" w:rsidRDefault="00E16D81" w:rsidP="00E16D81">
            <w:pPr>
              <w:rPr>
                <w:rFonts w:ascii="Arial" w:hAnsi="Arial" w:cs="Arial"/>
              </w:rPr>
            </w:pPr>
            <w:r w:rsidRPr="00E16D81">
              <w:rPr>
                <w:rFonts w:ascii="Arial" w:hAnsi="Arial" w:cs="Arial"/>
              </w:rPr>
              <w:t>HPV tested first; a positive HPV will trigger a Pap Test to be performed.</w:t>
            </w:r>
          </w:p>
        </w:tc>
      </w:tr>
      <w:tr w:rsidR="00E16D81" w:rsidRPr="00C73DE0" w14:paraId="5C888923" w14:textId="77777777" w:rsidTr="00E16D81">
        <w:trPr>
          <w:trHeight w:val="630"/>
          <w:tblCellSpacing w:w="15" w:type="dxa"/>
        </w:trPr>
        <w:tc>
          <w:tcPr>
            <w:tcW w:w="2475"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417FCFA" w14:textId="219A0504" w:rsidR="00E16D81" w:rsidRPr="00E16D81" w:rsidRDefault="00E16D81" w:rsidP="00E16D81">
            <w:pPr>
              <w:rPr>
                <w:rFonts w:ascii="Arial" w:hAnsi="Arial" w:cs="Arial"/>
              </w:rPr>
            </w:pPr>
            <w:r w:rsidRPr="00E16D81">
              <w:rPr>
                <w:rFonts w:ascii="Arial" w:hAnsi="Arial" w:cs="Arial"/>
                <w:b/>
                <w:bCs/>
              </w:rPr>
              <w:t>Cotesting Pap and HPV</w:t>
            </w:r>
          </w:p>
        </w:tc>
        <w:tc>
          <w:tcPr>
            <w:tcW w:w="7695"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2750A9A3" w14:textId="3C3F35DF" w:rsidR="00E16D81" w:rsidRPr="00E16D81" w:rsidRDefault="00E16D81" w:rsidP="00E16D81">
            <w:pPr>
              <w:rPr>
                <w:rFonts w:ascii="Arial" w:hAnsi="Arial" w:cs="Arial"/>
              </w:rPr>
            </w:pPr>
            <w:r w:rsidRPr="00E16D81">
              <w:rPr>
                <w:rFonts w:ascii="Arial" w:hAnsi="Arial" w:cs="Arial"/>
              </w:rPr>
              <w:t>HPV and Pap Test will be run concurrently.</w:t>
            </w:r>
          </w:p>
        </w:tc>
      </w:tr>
      <w:tr w:rsidR="00E16D81" w:rsidRPr="00C73DE0" w14:paraId="61E38975" w14:textId="77777777" w:rsidTr="00E16D81">
        <w:trPr>
          <w:trHeight w:val="702"/>
          <w:tblCellSpacing w:w="15" w:type="dxa"/>
        </w:trPr>
        <w:tc>
          <w:tcPr>
            <w:tcW w:w="2475"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D01E305" w14:textId="5DA1B92C" w:rsidR="00E16D81" w:rsidRPr="00E16D81" w:rsidRDefault="00E16D81" w:rsidP="00E16D81">
            <w:pPr>
              <w:rPr>
                <w:rFonts w:ascii="Arial" w:hAnsi="Arial" w:cs="Arial"/>
              </w:rPr>
            </w:pPr>
            <w:r w:rsidRPr="00E16D81">
              <w:rPr>
                <w:rFonts w:ascii="Arial" w:hAnsi="Arial" w:cs="Arial"/>
                <w:b/>
                <w:bCs/>
              </w:rPr>
              <w:lastRenderedPageBreak/>
              <w:t>Pap with Reflex to HPV</w:t>
            </w:r>
          </w:p>
        </w:tc>
        <w:tc>
          <w:tcPr>
            <w:tcW w:w="7695"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4C6F38D1" w14:textId="492C494D" w:rsidR="00E16D81" w:rsidRPr="00E16D81" w:rsidRDefault="00E16D81" w:rsidP="00E16D81">
            <w:pPr>
              <w:rPr>
                <w:rFonts w:ascii="Arial" w:hAnsi="Arial" w:cs="Arial"/>
              </w:rPr>
            </w:pPr>
            <w:r w:rsidRPr="00E16D81">
              <w:rPr>
                <w:rFonts w:ascii="Arial" w:hAnsi="Arial" w:cs="Arial"/>
              </w:rPr>
              <w:t>Pap Test first; if the Pap is ASC-US, it will trigger HPV testing.</w:t>
            </w:r>
          </w:p>
        </w:tc>
      </w:tr>
      <w:tr w:rsidR="00E16D81" w:rsidRPr="00C73DE0" w14:paraId="43C3BDEA" w14:textId="77777777" w:rsidTr="00E16D81">
        <w:trPr>
          <w:trHeight w:val="765"/>
          <w:tblCellSpacing w:w="15" w:type="dxa"/>
        </w:trPr>
        <w:tc>
          <w:tcPr>
            <w:tcW w:w="2475"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11D3E0B" w14:textId="2E13C8DB" w:rsidR="00E16D81" w:rsidRPr="00E16D81" w:rsidRDefault="00E16D81" w:rsidP="00E16D81">
            <w:pPr>
              <w:rPr>
                <w:rFonts w:ascii="Arial" w:hAnsi="Arial" w:cs="Arial"/>
              </w:rPr>
            </w:pPr>
            <w:r w:rsidRPr="00E16D81">
              <w:rPr>
                <w:rFonts w:ascii="Arial" w:hAnsi="Arial" w:cs="Arial"/>
                <w:b/>
                <w:bCs/>
              </w:rPr>
              <w:t>Pap Only</w:t>
            </w:r>
          </w:p>
        </w:tc>
        <w:tc>
          <w:tcPr>
            <w:tcW w:w="7695"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09E22575" w14:textId="423F81FC" w:rsidR="00E16D81" w:rsidRPr="00E16D81" w:rsidRDefault="00E16D81" w:rsidP="00E16D81">
            <w:pPr>
              <w:rPr>
                <w:rFonts w:ascii="Arial" w:hAnsi="Arial" w:cs="Arial"/>
              </w:rPr>
            </w:pPr>
            <w:r w:rsidRPr="00E16D81">
              <w:rPr>
                <w:rFonts w:ascii="Arial" w:hAnsi="Arial" w:cs="Arial"/>
              </w:rPr>
              <w:t>Only a Pap Test will be performed, and HPV testing will not occur regardless of the Pap results.</w:t>
            </w:r>
          </w:p>
        </w:tc>
      </w:tr>
      <w:tr w:rsidR="00E16D81" w:rsidRPr="00C73DE0" w14:paraId="48638254" w14:textId="77777777" w:rsidTr="00E16D81">
        <w:trPr>
          <w:trHeight w:val="738"/>
          <w:tblCellSpacing w:w="15" w:type="dxa"/>
        </w:trPr>
        <w:tc>
          <w:tcPr>
            <w:tcW w:w="2475"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7598DA1" w14:textId="2610EC30" w:rsidR="00E16D81" w:rsidRPr="00E16D81" w:rsidRDefault="00E16D81" w:rsidP="00E16D81">
            <w:pPr>
              <w:rPr>
                <w:rFonts w:ascii="Arial" w:hAnsi="Arial" w:cs="Arial"/>
              </w:rPr>
            </w:pPr>
            <w:r w:rsidRPr="00E16D81">
              <w:rPr>
                <w:rFonts w:ascii="Arial" w:hAnsi="Arial" w:cs="Arial"/>
                <w:b/>
                <w:bCs/>
              </w:rPr>
              <w:t>HPV Only</w:t>
            </w:r>
          </w:p>
        </w:tc>
        <w:tc>
          <w:tcPr>
            <w:tcW w:w="7695" w:type="dxa"/>
            <w:tcBorders>
              <w:top w:val="single" w:sz="6" w:space="0" w:color="auto"/>
              <w:left w:val="single" w:sz="6" w:space="0" w:color="auto"/>
              <w:bottom w:val="single" w:sz="6" w:space="0" w:color="auto"/>
              <w:right w:val="single" w:sz="6" w:space="0" w:color="auto"/>
            </w:tcBorders>
            <w:tcMar>
              <w:top w:w="240" w:type="dxa"/>
              <w:left w:w="180" w:type="dxa"/>
              <w:bottom w:w="240" w:type="dxa"/>
              <w:right w:w="0" w:type="dxa"/>
            </w:tcMar>
            <w:vAlign w:val="center"/>
            <w:hideMark/>
          </w:tcPr>
          <w:p w14:paraId="519B283D" w14:textId="5F788C9F" w:rsidR="00E16D81" w:rsidRPr="00E16D81" w:rsidRDefault="00E16D81" w:rsidP="00E16D81">
            <w:pPr>
              <w:rPr>
                <w:rFonts w:ascii="Arial" w:hAnsi="Arial" w:cs="Arial"/>
              </w:rPr>
            </w:pPr>
            <w:r w:rsidRPr="00E16D81">
              <w:rPr>
                <w:rFonts w:ascii="Arial" w:hAnsi="Arial" w:cs="Arial"/>
              </w:rPr>
              <w:t>Only HPV testing will be performed, and a Pap Test will not occur regardless of the HPV results.</w:t>
            </w:r>
          </w:p>
        </w:tc>
      </w:tr>
    </w:tbl>
    <w:p w14:paraId="67934CDD" w14:textId="77777777" w:rsidR="007C40D1" w:rsidRPr="007C40D1" w:rsidRDefault="007C40D1" w:rsidP="007C40D1">
      <w:pPr>
        <w:ind w:left="1440"/>
        <w:rPr>
          <w:rFonts w:ascii="Arial" w:hAnsi="Arial" w:cs="Arial"/>
          <w:sz w:val="20"/>
          <w:szCs w:val="20"/>
        </w:rPr>
      </w:pPr>
    </w:p>
    <w:p w14:paraId="1503AE08" w14:textId="6E6CE366" w:rsidR="007C40D1" w:rsidRPr="00B323DD" w:rsidRDefault="007C40D1" w:rsidP="00B323DD">
      <w:pPr>
        <w:numPr>
          <w:ilvl w:val="0"/>
          <w:numId w:val="1"/>
        </w:numPr>
        <w:spacing w:after="160" w:line="278" w:lineRule="auto"/>
        <w:rPr>
          <w:rFonts w:ascii="Arial" w:hAnsi="Arial" w:cs="Arial"/>
        </w:rPr>
      </w:pPr>
      <w:r w:rsidRPr="007C40D1">
        <w:rPr>
          <w:rFonts w:ascii="Arial" w:hAnsi="Arial" w:cs="Arial"/>
          <w:b/>
          <w:bCs/>
        </w:rPr>
        <w:t>Is Pap Screening or Diagnostic?:</w:t>
      </w:r>
      <w:r w:rsidRPr="007C40D1">
        <w:rPr>
          <w:rFonts w:ascii="Arial" w:hAnsi="Arial" w:cs="Arial"/>
        </w:rPr>
        <w:t xml:space="preserve"> An icon will appear next to the question to provide additional detail on when to select Screening vs. Diagnostic.</w:t>
      </w:r>
      <w:r w:rsidRPr="007C40D1" w:rsidDel="007F0CA6">
        <w:rPr>
          <w:rFonts w:ascii="Arial" w:hAnsi="Arial" w:cs="Arial"/>
        </w:rPr>
        <w:t xml:space="preserve"> </w:t>
      </w:r>
    </w:p>
    <w:p w14:paraId="5EB40960" w14:textId="77777777" w:rsidR="003D7928" w:rsidRDefault="003D7928" w:rsidP="007C40D1">
      <w:pPr>
        <w:rPr>
          <w:rFonts w:ascii="Arial" w:hAnsi="Arial" w:cs="Arial"/>
          <w:b/>
          <w:bCs/>
        </w:rPr>
      </w:pPr>
    </w:p>
    <w:p w14:paraId="49381BB5" w14:textId="36FB3885" w:rsidR="007C40D1" w:rsidRPr="007C40D1" w:rsidRDefault="007C40D1" w:rsidP="007C40D1">
      <w:pPr>
        <w:rPr>
          <w:rFonts w:ascii="Arial" w:hAnsi="Arial" w:cs="Arial"/>
        </w:rPr>
      </w:pPr>
      <w:r w:rsidRPr="007C40D1">
        <w:rPr>
          <w:rFonts w:ascii="Arial" w:hAnsi="Arial" w:cs="Arial"/>
          <w:b/>
          <w:bCs/>
        </w:rPr>
        <w:t>RECOMMENDATION</w:t>
      </w:r>
      <w:r w:rsidRPr="007C40D1">
        <w:rPr>
          <w:rFonts w:ascii="Arial" w:hAnsi="Arial" w:cs="Arial"/>
        </w:rPr>
        <w:t xml:space="preserve"> When ordering cervical cancer screening for patients, utilize the Cytology GYN order and select the desired test based on recommendations outlined in the screening guidelines (linked below). Ensure that questions and relevant clinical history are indicated within the order interface.  Patient collected specimen will not be accepted.</w:t>
      </w:r>
    </w:p>
    <w:p w14:paraId="088BCE71" w14:textId="5061F464" w:rsidR="007C40D1" w:rsidRPr="004B0446" w:rsidRDefault="007C40D1" w:rsidP="007C40D1">
      <w:pPr>
        <w:rPr>
          <w:rFonts w:ascii="Arial" w:hAnsi="Arial" w:cs="Arial"/>
          <w:color w:val="0000FF" w:themeColor="hyperlink"/>
          <w:u w:val="single"/>
        </w:rPr>
      </w:pPr>
      <w:r w:rsidRPr="007C40D1">
        <w:rPr>
          <w:rFonts w:ascii="Arial" w:hAnsi="Arial" w:cs="Arial"/>
        </w:rPr>
        <w:t xml:space="preserve">Further information on screening guidance can be found at: </w:t>
      </w:r>
      <w:bookmarkStart w:id="1" w:name="_Hlk228354568"/>
      <w:r w:rsidRPr="007C40D1">
        <w:fldChar w:fldCharType="begin"/>
      </w:r>
      <w:r w:rsidRPr="007C40D1">
        <w:rPr>
          <w:rFonts w:ascii="Arial" w:hAnsi="Arial" w:cs="Arial"/>
        </w:rPr>
        <w:instrText>HYPERLINK "https://www.asccp.org/guidelines/screening-guidelines/"</w:instrText>
      </w:r>
      <w:r w:rsidRPr="007C40D1">
        <w:fldChar w:fldCharType="separate"/>
      </w:r>
      <w:r w:rsidRPr="007C40D1">
        <w:rPr>
          <w:rStyle w:val="Hyperlink"/>
          <w:rFonts w:ascii="Arial" w:hAnsi="Arial" w:cs="Arial"/>
        </w:rPr>
        <w:t>Screening Guidelines - American Society for Colposcopy and Cervical Pathology (ASCCP)</w:t>
      </w:r>
      <w:r w:rsidRPr="007C40D1">
        <w:rPr>
          <w:rStyle w:val="Hyperlink"/>
          <w:rFonts w:ascii="Arial" w:hAnsi="Arial" w:cs="Arial"/>
        </w:rPr>
        <w:fldChar w:fldCharType="end"/>
      </w:r>
      <w:r w:rsidR="004B0446">
        <w:rPr>
          <w:rStyle w:val="Hyperlink"/>
          <w:rFonts w:ascii="Arial" w:hAnsi="Arial" w:cs="Arial"/>
        </w:rPr>
        <w:t>.</w:t>
      </w:r>
    </w:p>
    <w:bookmarkEnd w:id="1"/>
    <w:p w14:paraId="3150D9F8" w14:textId="77777777" w:rsidR="004B0446" w:rsidRDefault="004B0446" w:rsidP="00316FAE">
      <w:pPr>
        <w:rPr>
          <w:rFonts w:ascii="Arial" w:eastAsia="Calibri" w:hAnsi="Arial" w:cs="Arial"/>
        </w:rPr>
      </w:pPr>
    </w:p>
    <w:p w14:paraId="14C12701" w14:textId="2F2AFDAC" w:rsidR="00316FAE" w:rsidRPr="007C40D1" w:rsidRDefault="004B0446" w:rsidP="00316FAE">
      <w:pPr>
        <w:rPr>
          <w:rFonts w:ascii="Arial" w:eastAsia="Calibri" w:hAnsi="Arial" w:cs="Arial"/>
        </w:rPr>
      </w:pPr>
      <w:r>
        <w:rPr>
          <w:rFonts w:ascii="Arial" w:eastAsia="Calibri" w:hAnsi="Arial" w:cs="Arial"/>
        </w:rPr>
        <w:t xml:space="preserve">A Dartmouth Health OBGYN Provider Pearls document is attached to this communication as an example of how Primary HPV can be used </w:t>
      </w:r>
      <w:r w:rsidR="001645EA">
        <w:rPr>
          <w:rFonts w:ascii="Arial" w:eastAsia="Calibri" w:hAnsi="Arial" w:cs="Arial"/>
        </w:rPr>
        <w:t xml:space="preserve">for cervical cancer screening </w:t>
      </w:r>
      <w:r>
        <w:rPr>
          <w:rFonts w:ascii="Arial" w:eastAsia="Calibri" w:hAnsi="Arial" w:cs="Arial"/>
        </w:rPr>
        <w:t>based on current recommendations.</w:t>
      </w:r>
      <w:r w:rsidR="009818AC">
        <w:rPr>
          <w:rFonts w:ascii="Arial" w:eastAsia="Calibri" w:hAnsi="Arial" w:cs="Arial"/>
        </w:rPr>
        <w:t xml:space="preserve"> Individual providers/departments/clinics should review professional guidelines to determine best practices.</w:t>
      </w:r>
    </w:p>
    <w:p w14:paraId="00D4F2D3" w14:textId="77777777" w:rsidR="006C0036" w:rsidRPr="007C40D1" w:rsidRDefault="006C0036" w:rsidP="00CD7CA1">
      <w:pPr>
        <w:ind w:right="900"/>
        <w:rPr>
          <w:rFonts w:ascii="Arial" w:hAnsi="Arial" w:cs="Arial"/>
          <w:sz w:val="22"/>
        </w:rPr>
      </w:pPr>
    </w:p>
    <w:p w14:paraId="3C263793" w14:textId="0F54D675" w:rsidR="008F546F" w:rsidRPr="007C40D1" w:rsidRDefault="00AD1174" w:rsidP="003A1BAB">
      <w:pPr>
        <w:ind w:right="900"/>
        <w:rPr>
          <w:rFonts w:ascii="Arial" w:hAnsi="Arial" w:cs="Arial"/>
          <w:b/>
        </w:rPr>
      </w:pPr>
      <w:r w:rsidRPr="007C40D1">
        <w:rPr>
          <w:rFonts w:ascii="Arial" w:hAnsi="Arial" w:cs="Arial"/>
          <w:b/>
        </w:rPr>
        <w:t>F</w:t>
      </w:r>
      <w:r w:rsidR="006C0036" w:rsidRPr="007C40D1">
        <w:rPr>
          <w:rFonts w:ascii="Arial" w:hAnsi="Arial" w:cs="Arial"/>
          <w:b/>
        </w:rPr>
        <w:t xml:space="preserve">or </w:t>
      </w:r>
      <w:r w:rsidR="00CB2A4B" w:rsidRPr="007C40D1">
        <w:rPr>
          <w:rFonts w:ascii="Arial" w:hAnsi="Arial" w:cs="Arial"/>
          <w:b/>
        </w:rPr>
        <w:t xml:space="preserve">questions </w:t>
      </w:r>
      <w:r w:rsidR="00C14CF3" w:rsidRPr="007C40D1">
        <w:rPr>
          <w:rFonts w:ascii="Arial" w:hAnsi="Arial" w:cs="Arial"/>
          <w:b/>
        </w:rPr>
        <w:t xml:space="preserve">or additional </w:t>
      </w:r>
      <w:r w:rsidR="005A1FFE" w:rsidRPr="007C40D1">
        <w:rPr>
          <w:rFonts w:ascii="Arial" w:hAnsi="Arial" w:cs="Arial"/>
          <w:b/>
        </w:rPr>
        <w:t>information</w:t>
      </w:r>
      <w:r w:rsidRPr="007C40D1">
        <w:rPr>
          <w:rFonts w:ascii="Arial" w:hAnsi="Arial" w:cs="Arial"/>
          <w:b/>
        </w:rPr>
        <w:t>, please contact</w:t>
      </w:r>
      <w:r w:rsidR="002566AD" w:rsidRPr="007C40D1">
        <w:rPr>
          <w:rFonts w:ascii="Arial" w:hAnsi="Arial" w:cs="Arial"/>
          <w:b/>
        </w:rPr>
        <w:t>:</w:t>
      </w:r>
    </w:p>
    <w:p w14:paraId="6A3C6703" w14:textId="6374AFA5" w:rsidR="007C40D1" w:rsidRDefault="007C40D1" w:rsidP="007C40D1">
      <w:pPr>
        <w:rPr>
          <w:rFonts w:ascii="Arial" w:hAnsi="Arial" w:cs="Arial"/>
        </w:rPr>
      </w:pPr>
      <w:r w:rsidRPr="007C40D1">
        <w:rPr>
          <w:rFonts w:ascii="Arial" w:hAnsi="Arial" w:cs="Arial"/>
        </w:rPr>
        <w:t>The Cytology Laboratory: (603) 650-5113 or your local laboratory.</w:t>
      </w:r>
    </w:p>
    <w:p w14:paraId="02C67412" w14:textId="4368540D" w:rsidR="004B0446" w:rsidRPr="007C40D1" w:rsidRDefault="004B0446" w:rsidP="007C40D1">
      <w:pPr>
        <w:rPr>
          <w:rFonts w:ascii="Arial" w:hAnsi="Arial" w:cs="Arial"/>
        </w:rPr>
      </w:pPr>
      <w:r>
        <w:rPr>
          <w:rFonts w:ascii="Arial" w:hAnsi="Arial" w:cs="Arial"/>
        </w:rPr>
        <w:t xml:space="preserve">The CGAT Molecular Pathology Laboratory (for HPV-specific questions): </w:t>
      </w:r>
      <w:r w:rsidR="000A4276">
        <w:rPr>
          <w:rFonts w:ascii="Arial" w:hAnsi="Arial" w:cs="Arial"/>
        </w:rPr>
        <w:t>(</w:t>
      </w:r>
      <w:r>
        <w:rPr>
          <w:rFonts w:ascii="Arial" w:hAnsi="Arial" w:cs="Arial"/>
        </w:rPr>
        <w:t>603</w:t>
      </w:r>
      <w:r w:rsidR="000A4276">
        <w:rPr>
          <w:rFonts w:ascii="Arial" w:hAnsi="Arial" w:cs="Arial"/>
        </w:rPr>
        <w:t xml:space="preserve">) </w:t>
      </w:r>
      <w:r>
        <w:rPr>
          <w:rFonts w:ascii="Arial" w:hAnsi="Arial" w:cs="Arial"/>
        </w:rPr>
        <w:t>650-8257</w:t>
      </w:r>
    </w:p>
    <w:bookmarkEnd w:id="0"/>
    <w:p w14:paraId="52D5AC36" w14:textId="77777777" w:rsidR="007C40D1" w:rsidRPr="00200D26" w:rsidRDefault="007C40D1" w:rsidP="003A1BAB">
      <w:pPr>
        <w:ind w:right="900"/>
        <w:rPr>
          <w:rFonts w:ascii="Arial" w:hAnsi="Arial" w:cs="Arial"/>
          <w:b/>
        </w:rPr>
      </w:pPr>
    </w:p>
    <w:p w14:paraId="7BAEFE96" w14:textId="66387368" w:rsidR="006C0036" w:rsidRDefault="006C0036" w:rsidP="003A1BAB">
      <w:pPr>
        <w:ind w:right="900"/>
        <w:rPr>
          <w:sz w:val="22"/>
        </w:rPr>
      </w:pPr>
    </w:p>
    <w:p w14:paraId="1EB05AD0" w14:textId="6E98A4F7" w:rsidR="00991DEB" w:rsidRDefault="00991DEB" w:rsidP="003A1BAB">
      <w:pPr>
        <w:ind w:right="900"/>
        <w:rPr>
          <w:sz w:val="22"/>
        </w:rPr>
      </w:pPr>
    </w:p>
    <w:p w14:paraId="70FD9BE7" w14:textId="4C52D6A4" w:rsidR="00991DEB" w:rsidRDefault="00991DEB" w:rsidP="00B71043">
      <w:pPr>
        <w:ind w:left="-90" w:right="900"/>
        <w:rPr>
          <w:sz w:val="22"/>
        </w:rPr>
      </w:pPr>
    </w:p>
    <w:p w14:paraId="210136CF" w14:textId="5060AAEB" w:rsidR="00991DEB" w:rsidRDefault="00991DEB" w:rsidP="003A1BAB">
      <w:pPr>
        <w:ind w:right="900"/>
        <w:rPr>
          <w:sz w:val="22"/>
        </w:rPr>
      </w:pPr>
    </w:p>
    <w:p w14:paraId="2520AE25" w14:textId="77777777" w:rsidR="00991DEB" w:rsidRDefault="00991DEB" w:rsidP="005526F4">
      <w:pPr>
        <w:ind w:right="900"/>
        <w:rPr>
          <w:sz w:val="22"/>
        </w:rPr>
      </w:pPr>
    </w:p>
    <w:sectPr w:rsidR="00991DEB" w:rsidSect="00432280">
      <w:headerReference w:type="default" r:id="rId9"/>
      <w:footerReference w:type="even" r:id="rId10"/>
      <w:footerReference w:type="default" r:id="rId11"/>
      <w:headerReference w:type="first" r:id="rId12"/>
      <w:pgSz w:w="12240" w:h="15840"/>
      <w:pgMar w:top="1663" w:right="270" w:bottom="0" w:left="450"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FCDC1" w14:textId="77777777" w:rsidR="000841BF" w:rsidRDefault="000841BF">
      <w:r>
        <w:separator/>
      </w:r>
    </w:p>
  </w:endnote>
  <w:endnote w:type="continuationSeparator" w:id="0">
    <w:p w14:paraId="36E3ED6E" w14:textId="77777777" w:rsidR="000841BF" w:rsidRDefault="00084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Bold r:id="rId1" w:subsetted="1" w:fontKey="{19340FE0-9859-422D-8164-382F4BD3A4B1}"/>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embedRegular r:id="rId2" w:fontKey="{AB416A84-4653-460F-8FB7-A8FA92954B61}"/>
    <w:embedBold r:id="rId3" w:fontKey="{563471AE-C4E5-4D78-A1D6-1F7329BB74D7}"/>
  </w:font>
  <w:font w:name="Futura Std Light">
    <w:panose1 w:val="020B04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7E17" w14:textId="56FD5988"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67C0" w14:textId="5B13EFDF" w:rsidR="005A604E" w:rsidRDefault="005A604E">
    <w:pPr>
      <w:pStyle w:val="Footer"/>
      <w:jc w:val="right"/>
      <w:rPr>
        <w:rFonts w:ascii="Futura Std Light" w:hAnsi="Futura Std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D1680" w14:textId="77777777" w:rsidR="000841BF" w:rsidRDefault="000841BF">
      <w:r>
        <w:separator/>
      </w:r>
    </w:p>
  </w:footnote>
  <w:footnote w:type="continuationSeparator" w:id="0">
    <w:p w14:paraId="58162561" w14:textId="77777777" w:rsidR="000841BF" w:rsidRDefault="000841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6ED5E" w14:textId="0F0225B6" w:rsidR="000F355B" w:rsidRDefault="00AD5808">
    <w:pPr>
      <w:pStyle w:val="Header"/>
    </w:pPr>
    <w:r>
      <w:rPr>
        <w:noProof/>
      </w:rPr>
      <w:drawing>
        <wp:inline distT="0" distB="0" distL="0" distR="0" wp14:anchorId="417742E4" wp14:editId="4ED9A7AB">
          <wp:extent cx="7077710" cy="883285"/>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630318"/>
    <w:multiLevelType w:val="multilevel"/>
    <w:tmpl w:val="A2A89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3A28D2"/>
    <w:multiLevelType w:val="multilevel"/>
    <w:tmpl w:val="0D46B1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1330554">
    <w:abstractNumId w:val="0"/>
  </w:num>
  <w:num w:numId="2" w16cid:durableId="9552141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E9D"/>
    <w:rsid w:val="00007432"/>
    <w:rsid w:val="000232E8"/>
    <w:rsid w:val="00024FBA"/>
    <w:rsid w:val="00027D4B"/>
    <w:rsid w:val="00036876"/>
    <w:rsid w:val="00063639"/>
    <w:rsid w:val="00064FDE"/>
    <w:rsid w:val="000841BF"/>
    <w:rsid w:val="00084704"/>
    <w:rsid w:val="00085232"/>
    <w:rsid w:val="000873D7"/>
    <w:rsid w:val="00094592"/>
    <w:rsid w:val="000A4276"/>
    <w:rsid w:val="000E6B26"/>
    <w:rsid w:val="000F355B"/>
    <w:rsid w:val="00107DBC"/>
    <w:rsid w:val="001149A6"/>
    <w:rsid w:val="0013795B"/>
    <w:rsid w:val="00142BD8"/>
    <w:rsid w:val="001604B6"/>
    <w:rsid w:val="001645EA"/>
    <w:rsid w:val="001656A4"/>
    <w:rsid w:val="0019423C"/>
    <w:rsid w:val="0019523F"/>
    <w:rsid w:val="001979A1"/>
    <w:rsid w:val="001A7DCC"/>
    <w:rsid w:val="001B562B"/>
    <w:rsid w:val="001B64E6"/>
    <w:rsid w:val="001F2B06"/>
    <w:rsid w:val="00200D26"/>
    <w:rsid w:val="002017EA"/>
    <w:rsid w:val="00240055"/>
    <w:rsid w:val="00240882"/>
    <w:rsid w:val="00252539"/>
    <w:rsid w:val="002566AD"/>
    <w:rsid w:val="00297455"/>
    <w:rsid w:val="002A3B3F"/>
    <w:rsid w:val="002E4271"/>
    <w:rsid w:val="003119D6"/>
    <w:rsid w:val="00316FAE"/>
    <w:rsid w:val="00330888"/>
    <w:rsid w:val="0033507E"/>
    <w:rsid w:val="003A1BAB"/>
    <w:rsid w:val="003C102F"/>
    <w:rsid w:val="003C587E"/>
    <w:rsid w:val="003D0F09"/>
    <w:rsid w:val="003D7928"/>
    <w:rsid w:val="003E573E"/>
    <w:rsid w:val="00432280"/>
    <w:rsid w:val="00437772"/>
    <w:rsid w:val="00442490"/>
    <w:rsid w:val="004530EB"/>
    <w:rsid w:val="00476A7A"/>
    <w:rsid w:val="004B0446"/>
    <w:rsid w:val="004E1A02"/>
    <w:rsid w:val="005061FF"/>
    <w:rsid w:val="00525B7A"/>
    <w:rsid w:val="00531357"/>
    <w:rsid w:val="00531BF8"/>
    <w:rsid w:val="0054219E"/>
    <w:rsid w:val="005526F4"/>
    <w:rsid w:val="00561CF7"/>
    <w:rsid w:val="005A1FFE"/>
    <w:rsid w:val="005A604E"/>
    <w:rsid w:val="005C5C49"/>
    <w:rsid w:val="00616F93"/>
    <w:rsid w:val="00630445"/>
    <w:rsid w:val="006468FD"/>
    <w:rsid w:val="0066506C"/>
    <w:rsid w:val="00673F32"/>
    <w:rsid w:val="00683AF9"/>
    <w:rsid w:val="00686D4F"/>
    <w:rsid w:val="006B1DF1"/>
    <w:rsid w:val="006B69B9"/>
    <w:rsid w:val="006C0036"/>
    <w:rsid w:val="006C4FB0"/>
    <w:rsid w:val="006D1399"/>
    <w:rsid w:val="006E1377"/>
    <w:rsid w:val="006F7902"/>
    <w:rsid w:val="007065DB"/>
    <w:rsid w:val="00765A72"/>
    <w:rsid w:val="00784879"/>
    <w:rsid w:val="007908A3"/>
    <w:rsid w:val="007A2D15"/>
    <w:rsid w:val="007A5CD5"/>
    <w:rsid w:val="007A7BDC"/>
    <w:rsid w:val="007C40D1"/>
    <w:rsid w:val="0081548A"/>
    <w:rsid w:val="00815954"/>
    <w:rsid w:val="00865C81"/>
    <w:rsid w:val="0088413E"/>
    <w:rsid w:val="008A45D5"/>
    <w:rsid w:val="008E1882"/>
    <w:rsid w:val="008F546F"/>
    <w:rsid w:val="00902421"/>
    <w:rsid w:val="00903430"/>
    <w:rsid w:val="00921C70"/>
    <w:rsid w:val="00946EF2"/>
    <w:rsid w:val="009514BF"/>
    <w:rsid w:val="00973002"/>
    <w:rsid w:val="00973E8C"/>
    <w:rsid w:val="009818AC"/>
    <w:rsid w:val="00991DEB"/>
    <w:rsid w:val="009A2EF4"/>
    <w:rsid w:val="009D2F30"/>
    <w:rsid w:val="009E4EB2"/>
    <w:rsid w:val="00A05A18"/>
    <w:rsid w:val="00A061F5"/>
    <w:rsid w:val="00A21B12"/>
    <w:rsid w:val="00A241C5"/>
    <w:rsid w:val="00A36A94"/>
    <w:rsid w:val="00A376CD"/>
    <w:rsid w:val="00A462CF"/>
    <w:rsid w:val="00A54067"/>
    <w:rsid w:val="00A71416"/>
    <w:rsid w:val="00A74538"/>
    <w:rsid w:val="00AB1F55"/>
    <w:rsid w:val="00AB68B5"/>
    <w:rsid w:val="00AC3E86"/>
    <w:rsid w:val="00AC76FF"/>
    <w:rsid w:val="00AD1174"/>
    <w:rsid w:val="00AD49A9"/>
    <w:rsid w:val="00AD5808"/>
    <w:rsid w:val="00AF750B"/>
    <w:rsid w:val="00B04F3C"/>
    <w:rsid w:val="00B2181C"/>
    <w:rsid w:val="00B24ABF"/>
    <w:rsid w:val="00B323DD"/>
    <w:rsid w:val="00B35983"/>
    <w:rsid w:val="00B56BE5"/>
    <w:rsid w:val="00B622D0"/>
    <w:rsid w:val="00B62C24"/>
    <w:rsid w:val="00B71043"/>
    <w:rsid w:val="00B7412B"/>
    <w:rsid w:val="00B83228"/>
    <w:rsid w:val="00C14CF3"/>
    <w:rsid w:val="00C34D74"/>
    <w:rsid w:val="00C62069"/>
    <w:rsid w:val="00C80E87"/>
    <w:rsid w:val="00C83214"/>
    <w:rsid w:val="00CA3D80"/>
    <w:rsid w:val="00CA5218"/>
    <w:rsid w:val="00CB2A4B"/>
    <w:rsid w:val="00CD7CA1"/>
    <w:rsid w:val="00D1528C"/>
    <w:rsid w:val="00D254DF"/>
    <w:rsid w:val="00D27125"/>
    <w:rsid w:val="00D272D9"/>
    <w:rsid w:val="00D40CF8"/>
    <w:rsid w:val="00D60396"/>
    <w:rsid w:val="00D9240F"/>
    <w:rsid w:val="00DA207C"/>
    <w:rsid w:val="00DB3AB4"/>
    <w:rsid w:val="00DD1CD1"/>
    <w:rsid w:val="00DD50CF"/>
    <w:rsid w:val="00DD5E9D"/>
    <w:rsid w:val="00DE26CE"/>
    <w:rsid w:val="00DF0982"/>
    <w:rsid w:val="00E04D57"/>
    <w:rsid w:val="00E16D81"/>
    <w:rsid w:val="00E4275F"/>
    <w:rsid w:val="00E642EA"/>
    <w:rsid w:val="00E80E49"/>
    <w:rsid w:val="00E81988"/>
    <w:rsid w:val="00E83583"/>
    <w:rsid w:val="00EA7D55"/>
    <w:rsid w:val="00ED379A"/>
    <w:rsid w:val="00ED7287"/>
    <w:rsid w:val="00EF6FC4"/>
    <w:rsid w:val="00EF72A8"/>
    <w:rsid w:val="00F05A80"/>
    <w:rsid w:val="00F3083B"/>
    <w:rsid w:val="00F4221E"/>
    <w:rsid w:val="00F70B31"/>
    <w:rsid w:val="00F7358E"/>
    <w:rsid w:val="00F854F1"/>
    <w:rsid w:val="00F90027"/>
    <w:rsid w:val="00FC5C8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77F0A2"/>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1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34"/>
    <w:qFormat/>
    <w:rsid w:val="001604B6"/>
    <w:pPr>
      <w:spacing w:after="200"/>
      <w:ind w:left="720"/>
      <w:contextualSpacing/>
    </w:pPr>
    <w:rPr>
      <w:szCs w:val="22"/>
    </w:rPr>
  </w:style>
  <w:style w:type="character" w:styleId="UnresolvedMention">
    <w:name w:val="Unresolved Mention"/>
    <w:basedOn w:val="DefaultParagraphFont"/>
    <w:uiPriority w:val="99"/>
    <w:semiHidden/>
    <w:unhideWhenUsed/>
    <w:rsid w:val="00B71043"/>
    <w:rPr>
      <w:color w:val="605E5C"/>
      <w:shd w:val="clear" w:color="auto" w:fill="E1DFDD"/>
    </w:rPr>
  </w:style>
  <w:style w:type="character" w:customStyle="1" w:styleId="allowtextselection">
    <w:name w:val="allowtextselection"/>
    <w:basedOn w:val="DefaultParagraphFont"/>
    <w:rsid w:val="00432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737181">
      <w:bodyDiv w:val="1"/>
      <w:marLeft w:val="0"/>
      <w:marRight w:val="0"/>
      <w:marTop w:val="0"/>
      <w:marBottom w:val="0"/>
      <w:divBdr>
        <w:top w:val="none" w:sz="0" w:space="0" w:color="auto"/>
        <w:left w:val="none" w:sz="0" w:space="0" w:color="auto"/>
        <w:bottom w:val="none" w:sz="0" w:space="0" w:color="auto"/>
        <w:right w:val="none" w:sz="0" w:space="0" w:color="auto"/>
      </w:divBdr>
    </w:div>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965819260">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1819224916">
      <w:bodyDiv w:val="1"/>
      <w:marLeft w:val="0"/>
      <w:marRight w:val="0"/>
      <w:marTop w:val="0"/>
      <w:marBottom w:val="0"/>
      <w:divBdr>
        <w:top w:val="none" w:sz="0" w:space="0" w:color="auto"/>
        <w:left w:val="none" w:sz="0" w:space="0" w:color="auto"/>
        <w:bottom w:val="none" w:sz="0" w:space="0" w:color="auto"/>
        <w:right w:val="none" w:sz="0" w:space="0" w:color="auto"/>
      </w:divBdr>
    </w:div>
    <w:div w:id="1994328981">
      <w:bodyDiv w:val="1"/>
      <w:marLeft w:val="0"/>
      <w:marRight w:val="0"/>
      <w:marTop w:val="0"/>
      <w:marBottom w:val="0"/>
      <w:divBdr>
        <w:top w:val="none" w:sz="0" w:space="0" w:color="auto"/>
        <w:left w:val="none" w:sz="0" w:space="0" w:color="auto"/>
        <w:bottom w:val="none" w:sz="0" w:space="0" w:color="auto"/>
        <w:right w:val="none" w:sz="0" w:space="0" w:color="auto"/>
      </w:divBdr>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sccp.org/guidelines/screening-guidelines/"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481</Words>
  <Characters>2746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Mayeu</dc:creator>
  <cp:lastModifiedBy>Paula W. Martell</cp:lastModifiedBy>
  <cp:revision>3</cp:revision>
  <cp:lastPrinted>2021-05-27T16:36:00Z</cp:lastPrinted>
  <dcterms:created xsi:type="dcterms:W3CDTF">2026-05-20T15:04:00Z</dcterms:created>
  <dcterms:modified xsi:type="dcterms:W3CDTF">2026-05-20T15:09:00Z</dcterms:modified>
</cp:coreProperties>
</file>